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7B40" w14:textId="77777777" w:rsidR="00201B2A" w:rsidRPr="00426C69" w:rsidRDefault="00201B2A" w:rsidP="00201B2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26C69">
        <w:rPr>
          <w:rFonts w:ascii="Times New Roman" w:eastAsia="Times New Roman" w:hAnsi="Times New Roman" w:cs="Times New Roman"/>
          <w:b/>
          <w:bCs/>
          <w:kern w:val="0"/>
          <w:sz w:val="27"/>
          <w:szCs w:val="27"/>
          <w14:ligatures w14:val="none"/>
        </w:rPr>
        <w:t>Attachment 1 – DIBC-26-XX Statement of Need</w:t>
      </w:r>
    </w:p>
    <w:p w14:paraId="53D9EE30"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1.0 BACKGROUND AND AUTHORITY</w:t>
      </w:r>
    </w:p>
    <w:p w14:paraId="6A937A28"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The Defense Industrial Base Consortium (DIBC) is seeking prototype solutions to address critical supply chain vulnerabilities and manufacturing capability gaps within the domestic industrial base. The projects outlined in this Statement of Need (SoN) are subjects of </w:t>
      </w:r>
      <w:r w:rsidRPr="00426C69">
        <w:rPr>
          <w:rFonts w:ascii="Times New Roman" w:eastAsia="Times New Roman" w:hAnsi="Times New Roman" w:cs="Times New Roman"/>
          <w:b/>
          <w:bCs/>
          <w:kern w:val="0"/>
          <w14:ligatures w14:val="none"/>
        </w:rPr>
        <w:t>Congressional Interest</w:t>
      </w:r>
      <w:r w:rsidRPr="00426C69">
        <w:rPr>
          <w:rFonts w:ascii="Times New Roman" w:eastAsia="Times New Roman" w:hAnsi="Times New Roman" w:cs="Times New Roman"/>
          <w:kern w:val="0"/>
          <w14:ligatures w14:val="none"/>
        </w:rPr>
        <w:t xml:space="preserve"> and will be funded using </w:t>
      </w:r>
      <w:r w:rsidRPr="00426C69">
        <w:rPr>
          <w:rFonts w:ascii="Times New Roman" w:eastAsia="Times New Roman" w:hAnsi="Times New Roman" w:cs="Times New Roman"/>
          <w:b/>
          <w:bCs/>
          <w:kern w:val="0"/>
          <w14:ligatures w14:val="none"/>
        </w:rPr>
        <w:t>Research, Development, Test, and Evaluation (RDT&amp;E)</w:t>
      </w:r>
      <w:r w:rsidRPr="00426C69">
        <w:rPr>
          <w:rFonts w:ascii="Times New Roman" w:eastAsia="Times New Roman" w:hAnsi="Times New Roman" w:cs="Times New Roman"/>
          <w:kern w:val="0"/>
          <w14:ligatures w14:val="none"/>
        </w:rPr>
        <w:t xml:space="preserve"> appropriations.</w:t>
      </w:r>
    </w:p>
    <w:p w14:paraId="36C23EC0"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All proposed solutions must align with the statutory objectives of the </w:t>
      </w:r>
      <w:r w:rsidRPr="00426C69">
        <w:rPr>
          <w:rFonts w:ascii="Times New Roman" w:eastAsia="Times New Roman" w:hAnsi="Times New Roman" w:cs="Times New Roman"/>
          <w:b/>
          <w:bCs/>
          <w:kern w:val="0"/>
          <w14:ligatures w14:val="none"/>
        </w:rPr>
        <w:t>Industrial Base Analysis and Sustainment (IBAS)</w:t>
      </w:r>
      <w:r w:rsidRPr="00426C69">
        <w:rPr>
          <w:rFonts w:ascii="Times New Roman" w:eastAsia="Times New Roman" w:hAnsi="Times New Roman" w:cs="Times New Roman"/>
          <w:kern w:val="0"/>
          <w14:ligatures w14:val="none"/>
        </w:rPr>
        <w:t xml:space="preserve"> program. The primary goal is to sustain and enhance vital DIB capabilities, mitigate supply chain risks, and scale domestic production capacity to meet Department of Defense (</w:t>
      </w:r>
      <w:r>
        <w:rPr>
          <w:rFonts w:ascii="Times New Roman" w:eastAsia="Times New Roman" w:hAnsi="Times New Roman" w:cs="Times New Roman"/>
          <w:kern w:val="0"/>
          <w14:ligatures w14:val="none"/>
        </w:rPr>
        <w:t>DOW</w:t>
      </w:r>
      <w:r w:rsidRPr="00426C69">
        <w:rPr>
          <w:rFonts w:ascii="Times New Roman" w:eastAsia="Times New Roman" w:hAnsi="Times New Roman" w:cs="Times New Roman"/>
          <w:kern w:val="0"/>
          <w14:ligatures w14:val="none"/>
        </w:rPr>
        <w:t>) operational needs.</w:t>
      </w:r>
    </w:p>
    <w:p w14:paraId="54EE2D02"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2.0 GENERAL REQUIREMENTS &amp; GOVERNMENT EQUITY</w:t>
      </w:r>
    </w:p>
    <w:p w14:paraId="504176B9"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 xml:space="preserve">Because these prototype projects are funded via RDT&amp;E to address critical national security shortfalls, </w:t>
      </w:r>
      <w:r w:rsidRPr="00426C69">
        <w:rPr>
          <w:rFonts w:ascii="Times New Roman" w:eastAsia="Times New Roman" w:hAnsi="Times New Roman" w:cs="Times New Roman"/>
          <w:b/>
          <w:bCs/>
          <w:kern w:val="0"/>
          <w14:ligatures w14:val="none"/>
        </w:rPr>
        <w:t>the Government expects to obtain equity commensurate with its investment.</w:t>
      </w:r>
    </w:p>
    <w:p w14:paraId="7A747E9B"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For the purposes of this RFS, "Government equity" may include, but is not limited to:</w:t>
      </w:r>
    </w:p>
    <w:p w14:paraId="6229F39F" w14:textId="77777777" w:rsidR="00201B2A" w:rsidRPr="00426C69" w:rsidRDefault="00201B2A" w:rsidP="00201B2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Data Rights:</w:t>
      </w:r>
      <w:r w:rsidRPr="00426C69">
        <w:rPr>
          <w:rFonts w:ascii="Times New Roman" w:eastAsia="Times New Roman" w:hAnsi="Times New Roman" w:cs="Times New Roman"/>
          <w:kern w:val="0"/>
          <w14:ligatures w14:val="none"/>
        </w:rPr>
        <w:t xml:space="preserve"> Government Purpose Rights (GPR) to technical data, manufacturing schematics, and software developed under this agreement.</w:t>
      </w:r>
    </w:p>
    <w:p w14:paraId="7E740994" w14:textId="77777777" w:rsidR="00201B2A" w:rsidRPr="00426C69" w:rsidRDefault="00201B2A" w:rsidP="00201B2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Capacity Reservation:</w:t>
      </w:r>
      <w:r w:rsidRPr="00426C69">
        <w:rPr>
          <w:rFonts w:ascii="Times New Roman" w:eastAsia="Times New Roman" w:hAnsi="Times New Roman" w:cs="Times New Roman"/>
          <w:kern w:val="0"/>
          <w14:ligatures w14:val="none"/>
        </w:rPr>
        <w:t xml:space="preserve"> Priority access or reserved production throughput at the upgraded or newly established manufacturing facilities.</w:t>
      </w:r>
    </w:p>
    <w:p w14:paraId="44A06568" w14:textId="77777777" w:rsidR="00201B2A" w:rsidRPr="00426C69" w:rsidRDefault="00201B2A" w:rsidP="00201B2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Hardware Deliverables:</w:t>
      </w:r>
      <w:r w:rsidRPr="00426C69">
        <w:rPr>
          <w:rFonts w:ascii="Times New Roman" w:eastAsia="Times New Roman" w:hAnsi="Times New Roman" w:cs="Times New Roman"/>
          <w:kern w:val="0"/>
          <w14:ligatures w14:val="none"/>
        </w:rPr>
        <w:t xml:space="preserve"> Delivery of functional prototypes, tooling, or initial low-rate initial production (LRIP) units.</w:t>
      </w:r>
    </w:p>
    <w:p w14:paraId="585F1D53" w14:textId="77777777" w:rsidR="00201B2A" w:rsidRPr="00426C69" w:rsidRDefault="00201B2A" w:rsidP="00201B2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Intellectual Property:</w:t>
      </w:r>
      <w:r w:rsidRPr="00426C69">
        <w:rPr>
          <w:rFonts w:ascii="Times New Roman" w:eastAsia="Times New Roman" w:hAnsi="Times New Roman" w:cs="Times New Roman"/>
          <w:kern w:val="0"/>
          <w14:ligatures w14:val="none"/>
        </w:rPr>
        <w:t xml:space="preserve"> Shared licensing or royalty-free use of novel manufacturing processes developed with Government funds.</w:t>
      </w:r>
    </w:p>
    <w:p w14:paraId="53F4CB1F"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3.0 TOPIC AREAS SUMMARY</w:t>
      </w:r>
    </w:p>
    <w:p w14:paraId="71215986"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kern w:val="0"/>
          <w14:ligatures w14:val="none"/>
        </w:rPr>
        <w:t>Members may submit Solution Papers for one or more of the following topic areas. Each topic will be evaluated independently.</w:t>
      </w:r>
    </w:p>
    <w:p w14:paraId="27744DC9" w14:textId="77777777" w:rsidR="00201B2A" w:rsidRDefault="00201B2A" w:rsidP="00201B2A">
      <w:pPr>
        <w:spacing w:before="100" w:beforeAutospacing="1" w:after="100" w:afterAutospacing="1" w:line="240" w:lineRule="auto"/>
        <w:rPr>
          <w:rFonts w:ascii="Times New Roman" w:eastAsia="Times New Roman" w:hAnsi="Times New Roman" w:cs="Times New Roman"/>
          <w:b/>
          <w:bCs/>
          <w:kern w:val="0"/>
          <w14:ligatures w14:val="none"/>
        </w:rPr>
      </w:pPr>
      <w:r w:rsidRPr="00426C69">
        <w:rPr>
          <w:rFonts w:ascii="Times New Roman" w:eastAsia="Times New Roman" w:hAnsi="Times New Roman" w:cs="Times New Roman"/>
          <w:b/>
          <w:bCs/>
          <w:kern w:val="0"/>
          <w14:ligatures w14:val="none"/>
        </w:rPr>
        <w:t>4.0 TECHNICAL TOPIC DESCRIPTIONS</w:t>
      </w:r>
    </w:p>
    <w:p w14:paraId="33D8E546" w14:textId="77777777" w:rsidR="00201B2A" w:rsidRPr="005C6B3A"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5C6B3A">
        <w:rPr>
          <w:rFonts w:ascii="Times New Roman" w:eastAsia="Times New Roman" w:hAnsi="Times New Roman" w:cs="Times New Roman"/>
          <w:kern w:val="0"/>
          <w14:ligatures w14:val="none"/>
        </w:rPr>
        <w:t>The core mission of IBAS is to bolster the defense industrial base and secure critical supply chains in specific technical areas. By nature, this mission is often regionally specific.</w:t>
      </w:r>
    </w:p>
    <w:p w14:paraId="22E06C53"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5C6B3A">
        <w:rPr>
          <w:rFonts w:ascii="Times New Roman" w:eastAsia="Times New Roman" w:hAnsi="Times New Roman" w:cs="Times New Roman"/>
          <w:kern w:val="0"/>
          <w14:ligatures w14:val="none"/>
        </w:rPr>
        <w:t xml:space="preserve">To create a resilient and robust domestic supply chain—and to avoid single points of failure—the DoW must deliberately establish, scale, and diversify manufacturing capabilities across distinct regional industrial hubs. </w:t>
      </w:r>
    </w:p>
    <w:p w14:paraId="16A860FB"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Topic 1: Secure Processor Development</w:t>
      </w:r>
      <w:r w:rsidRPr="00426C69">
        <w:rPr>
          <w:rFonts w:ascii="Times New Roman" w:eastAsia="Times New Roman" w:hAnsi="Times New Roman" w:cs="Times New Roman"/>
          <w:kern w:val="0"/>
          <w14:ligatures w14:val="none"/>
        </w:rPr>
        <w:br/>
        <w:t>The Government requires a prototype project to develop, mature, and scale the domestic production of advanced secure processors for defense applications. Modern defense systems operating at the tactical edge require high-performance computing (eg, AI/ML processing, sensor fusion) while maintaining an absolute Zero-Trust hardware posture. Current commercial-off-the-shelf (COTS) processors are vulnerable to supply chain interdiction, side-channel attacks, and reverse engineering.</w:t>
      </w:r>
    </w:p>
    <w:p w14:paraId="549D32D5" w14:textId="77777777" w:rsidR="00201B2A" w:rsidRPr="00426C69" w:rsidRDefault="00201B2A" w:rsidP="00201B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Solutions should emphasize hardware roots of trust (RoS), secure boot mechanisms, inline memory encryption, and resistance to physical and electrical side-channel attacks. Proposals may include advanced 2.5D and 3D heterogeneous integration (HI) packaging, or the integration of secure processor chiplets (such as RISC-V architectures with integrated memory guards) into larger systems on a chip (SoC).</w:t>
      </w:r>
    </w:p>
    <w:p w14:paraId="2DB3F151" w14:textId="77777777" w:rsidR="00201B2A" w:rsidRPr="00426C69" w:rsidRDefault="00201B2A" w:rsidP="00201B2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8</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3</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6B3D8564"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Topic 2: Rare Earth Magnet Manufacturing</w:t>
      </w:r>
      <w:r w:rsidRPr="00426C69">
        <w:rPr>
          <w:rFonts w:ascii="Times New Roman" w:eastAsia="Times New Roman" w:hAnsi="Times New Roman" w:cs="Times New Roman"/>
          <w:kern w:val="0"/>
          <w14:ligatures w14:val="none"/>
        </w:rPr>
        <w:br/>
        <w:t>The Government requires prototype solutions to establish or enhance domestic manufacturing capabilities for high-performance rare earth permanent magnets, specifically Neodymium-Iron-Boron (NdFeB) and Samarium-Cobalt (SmCo). These magnets are critical for defense electric drive systems, radar, missile guidance fins, and advanced actuators (e.g., F-35 and submarine platforms). Currently, foreign entities of concern control over 85% of the global magnet processing and production capacity.</w:t>
      </w:r>
    </w:p>
    <w:p w14:paraId="32334CC8" w14:textId="77777777" w:rsidR="00201B2A" w:rsidRPr="00426C69" w:rsidRDefault="00201B2A" w:rsidP="00201B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The project must advance a verifiable, secure "mine-to-magnet" supply chain completely bypassing foreign entities of concern. </w:t>
      </w:r>
      <w:r w:rsidRPr="00130E6C">
        <w:rPr>
          <w:rFonts w:ascii="Times New Roman" w:eastAsia="Times New Roman" w:hAnsi="Times New Roman" w:cs="Times New Roman"/>
          <w:kern w:val="0"/>
          <w14:ligatures w14:val="none"/>
        </w:rPr>
        <w:t>The project may use virgin material sources or recycled materials.</w:t>
      </w:r>
      <w:r>
        <w:rPr>
          <w:rFonts w:ascii="Times New Roman" w:eastAsia="Times New Roman" w:hAnsi="Times New Roman" w:cs="Times New Roman"/>
          <w:kern w:val="0"/>
          <w14:ligatures w14:val="none"/>
        </w:rPr>
        <w:t xml:space="preserve"> </w:t>
      </w:r>
      <w:r w:rsidRPr="00426C69">
        <w:rPr>
          <w:rFonts w:ascii="Times New Roman" w:eastAsia="Times New Roman" w:hAnsi="Times New Roman" w:cs="Times New Roman"/>
          <w:kern w:val="0"/>
          <w14:ligatures w14:val="none"/>
        </w:rPr>
        <w:t>Technical approaches should highlight advanced sintered manufacturing processes, heavy rare earth (HRE) separation capabilities (specifically isolating Dysprosium and Terbium), or the use of Grain Boundary Diffusion (GBD) technology to maximize high-temperature performance while reducing overall reliance on scarce HREs.</w:t>
      </w:r>
    </w:p>
    <w:p w14:paraId="75156D72" w14:textId="77777777" w:rsidR="00201B2A" w:rsidRPr="00426C69" w:rsidRDefault="00201B2A" w:rsidP="00201B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2</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5214919E" w14:textId="77777777" w:rsidR="00201B2A" w:rsidRPr="00426C69" w:rsidRDefault="00201B2A" w:rsidP="00201B2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D937DB">
        <w:rPr>
          <w:rFonts w:ascii="Times New Roman" w:eastAsia="Times New Roman" w:hAnsi="Times New Roman" w:cs="Times New Roman"/>
          <w:b/>
          <w:bCs/>
          <w:kern w:val="0"/>
          <w14:ligatures w14:val="none"/>
        </w:rPr>
        <w:t>Economic Participation:</w:t>
      </w:r>
      <w:r w:rsidRPr="00D937DB">
        <w:rPr>
          <w:rFonts w:ascii="Times New Roman" w:eastAsia="Times New Roman" w:hAnsi="Times New Roman" w:cs="Times New Roman"/>
          <w:kern w:val="0"/>
          <w14:ligatures w14:val="none"/>
        </w:rPr>
        <w:t xml:space="preserve"> To ensure a resilient domestic supply chain, the Government seeks solutions demonstrating shared financial investment and long-term commercial sustainment. In alignment with the IBAS mission to establish and diversify regional centers of excellence, the Government will favorably evaluate proposals that build or utilize robust industrial infrastructure, integrate localized supply chains, and develop specialized workforces for domestic magnet manufacturing. The highest evaluation preference will be given to proposed solutions that strategically locate operations within established or rapidly emerging U.S. automotive, aerospace, or advanced manufacturing corridors to leverage existing industrial synergies."</w:t>
      </w:r>
      <w:r>
        <w:rPr>
          <w:rFonts w:ascii="Times New Roman" w:eastAsia="Times New Roman" w:hAnsi="Times New Roman" w:cs="Times New Roman"/>
          <w:kern w:val="0"/>
          <w14:ligatures w14:val="none"/>
        </w:rPr>
        <w:t xml:space="preserve"> </w:t>
      </w:r>
    </w:p>
    <w:p w14:paraId="7A23471E" w14:textId="77777777" w:rsidR="00201B2A" w:rsidRPr="00426C69"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 xml:space="preserve">Topic </w:t>
      </w:r>
      <w:r>
        <w:rPr>
          <w:rFonts w:ascii="Times New Roman" w:eastAsia="Times New Roman" w:hAnsi="Times New Roman" w:cs="Times New Roman"/>
          <w:b/>
          <w:bCs/>
          <w:kern w:val="0"/>
          <w14:ligatures w14:val="none"/>
        </w:rPr>
        <w:t>3</w:t>
      </w:r>
      <w:r w:rsidRPr="00426C69">
        <w:rPr>
          <w:rFonts w:ascii="Times New Roman" w:eastAsia="Times New Roman" w:hAnsi="Times New Roman" w:cs="Times New Roman"/>
          <w:b/>
          <w:bCs/>
          <w:kern w:val="0"/>
          <w14:ligatures w14:val="none"/>
        </w:rPr>
        <w:t>: Industrial Forge Quenching Capacity Improvement</w:t>
      </w:r>
      <w:r w:rsidRPr="00426C69">
        <w:rPr>
          <w:rFonts w:ascii="Times New Roman" w:eastAsia="Times New Roman" w:hAnsi="Times New Roman" w:cs="Times New Roman"/>
          <w:kern w:val="0"/>
          <w14:ligatures w14:val="none"/>
        </w:rPr>
        <w:br/>
        <w:t>Heavy forging is a foundational requirement for major defense platforms, particularly within the Submarine Industrial Base (SIB), shipbuilding, and heavy armor. The Government requires a prototype project to design, upgrade, and validate improved industrial forge quenching capacity. Current domestic infrastructure is a major bottleneck, leading to extended lead times for ultra-large cast and forged components.</w:t>
      </w:r>
    </w:p>
    <w:p w14:paraId="366C393E" w14:textId="77777777" w:rsidR="00201B2A" w:rsidRPr="00426C69" w:rsidRDefault="00201B2A" w:rsidP="00201B2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Technical Focus:</w:t>
      </w:r>
      <w:r w:rsidRPr="00426C69">
        <w:rPr>
          <w:rFonts w:ascii="Times New Roman" w:eastAsia="Times New Roman" w:hAnsi="Times New Roman" w:cs="Times New Roman"/>
          <w:kern w:val="0"/>
          <w14:ligatures w14:val="none"/>
        </w:rPr>
        <w:t xml:space="preserve"> Solutions must demonstrate the implementation of advanced quenching infrastructure (eg, large-scale water, oil, or polymer quench tanks). The technical approach should feature automated, sensor-driven temperature monitoring and controlled cooling rates to guarantee metallurgical consistency, prevent stress fractures in heavy steel/titanium alloys, and significantly increase throughput for Navy and Army platform components.</w:t>
      </w:r>
    </w:p>
    <w:p w14:paraId="70DCD65D" w14:textId="77777777" w:rsidR="00201B2A" w:rsidRPr="00426C69" w:rsidRDefault="00201B2A" w:rsidP="00201B2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2</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5</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63189BA1" w14:textId="794A2011" w:rsidR="00201B2A" w:rsidRDefault="00201B2A" w:rsidP="00201B2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Economic Participation</w:t>
      </w:r>
      <w:r w:rsidRPr="00426C69">
        <w:rPr>
          <w:rFonts w:ascii="Times New Roman" w:eastAsia="Times New Roman" w:hAnsi="Times New Roman" w:cs="Times New Roman"/>
          <w:b/>
          <w:bCs/>
          <w:kern w:val="0"/>
          <w14:ligatures w14:val="none"/>
        </w:rPr>
        <w:t>:</w:t>
      </w:r>
      <w:r w:rsidRPr="00426C69">
        <w:rPr>
          <w:rFonts w:ascii="Times New Roman" w:eastAsia="Times New Roman" w:hAnsi="Times New Roman" w:cs="Times New Roman"/>
          <w:kern w:val="0"/>
          <w14:ligatures w14:val="none"/>
        </w:rPr>
        <w:t xml:space="preserve"> </w:t>
      </w:r>
      <w:r w:rsidRPr="00A33E80">
        <w:rPr>
          <w:rFonts w:ascii="Times New Roman" w:eastAsia="Times New Roman" w:hAnsi="Times New Roman" w:cs="Times New Roman"/>
          <w:kern w:val="0"/>
          <w14:ligatures w14:val="none"/>
        </w:rPr>
        <w:t>To meet the IBAS strategic requirement for expanding geographically distinct heavy industrial infrastructure, the Government seeks proposals that drive direct economic participation and localized industrial impact. The highest evaluation preference will be given to proposed solutions that establish or expand operations within regions offering established heavy manufacturing ecosystems, high-capacity energy grids, and strategic logistical access to rapidly scale domestic infrastructure capabilities."</w:t>
      </w:r>
    </w:p>
    <w:p w14:paraId="4217546B" w14:textId="77777777" w:rsidR="00201B2A"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Topic 4:</w:t>
      </w:r>
      <w:r>
        <w:rPr>
          <w:rFonts w:ascii="Times New Roman" w:eastAsia="Times New Roman" w:hAnsi="Times New Roman" w:cs="Times New Roman"/>
          <w:kern w:val="0"/>
          <w14:ligatures w14:val="none"/>
        </w:rPr>
        <w:t xml:space="preserve"> </w:t>
      </w:r>
      <w:r w:rsidRPr="00851C49">
        <w:rPr>
          <w:rFonts w:ascii="Times New Roman" w:eastAsia="Times New Roman" w:hAnsi="Times New Roman" w:cs="Times New Roman"/>
          <w:b/>
          <w:bCs/>
          <w:kern w:val="0"/>
          <w14:ligatures w14:val="none"/>
        </w:rPr>
        <w:t>RF Contested Environments</w:t>
      </w:r>
    </w:p>
    <w:p w14:paraId="140E5A0D" w14:textId="77777777" w:rsidR="00201B2A" w:rsidRPr="00B77BB3"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B77BB3">
        <w:rPr>
          <w:rFonts w:ascii="Times New Roman" w:eastAsia="Times New Roman" w:hAnsi="Times New Roman" w:cs="Times New Roman"/>
          <w:kern w:val="0"/>
          <w14:ligatures w14:val="none"/>
        </w:rPr>
        <w:t>The Department of War (DoW) requires domestic, trusted prototyping and low-rate initial production of advanced microelectronics capable of maintaining spectrum dominance in severely contested and congested electromagnetic environments.</w:t>
      </w:r>
    </w:p>
    <w:p w14:paraId="05A15BA6" w14:textId="77777777" w:rsidR="00201B2A" w:rsidRDefault="00201B2A" w:rsidP="00201B2A">
      <w:pPr>
        <w:spacing w:before="100" w:beforeAutospacing="1" w:after="100" w:afterAutospacing="1" w:line="240" w:lineRule="auto"/>
        <w:rPr>
          <w:rFonts w:ascii="Times New Roman" w:eastAsia="Times New Roman" w:hAnsi="Times New Roman" w:cs="Times New Roman"/>
          <w:kern w:val="0"/>
          <w14:ligatures w14:val="none"/>
        </w:rPr>
      </w:pPr>
      <w:r w:rsidRPr="00B77BB3">
        <w:rPr>
          <w:rFonts w:ascii="Times New Roman" w:eastAsia="Times New Roman" w:hAnsi="Times New Roman" w:cs="Times New Roman"/>
          <w:kern w:val="0"/>
          <w14:ligatures w14:val="none"/>
        </w:rPr>
        <w:t>Currently, the U.S. Defense Industrial Base (DIB) faces a critical gap in fielding ultra-wideband, low-latency RF signal processing components at the tactical edge. Near-peer adversaries have proliferated sophisticated Electronic Warfare (EW) systems designed to jam, spoof, or degrade DoW communications, radar, and precision-guided munitions. Existing silicon-based microelectronics lack the instantaneous bandwidth and dynamic range required to filter intentional interference and isolate signals of interest in real-time, posing a severe risk to Joint All-Domain Command and Control (JADC2) survivability.</w:t>
      </w:r>
    </w:p>
    <w:p w14:paraId="1A45A841" w14:textId="77777777" w:rsidR="00201B2A" w:rsidRPr="00B77BB3" w:rsidRDefault="00201B2A" w:rsidP="00201B2A">
      <w:pPr>
        <w:pStyle w:val="ListParagraph"/>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851C49">
        <w:rPr>
          <w:rFonts w:ascii="Times New Roman" w:eastAsia="Times New Roman" w:hAnsi="Times New Roman" w:cs="Times New Roman"/>
          <w:b/>
          <w:bCs/>
          <w:kern w:val="0"/>
          <w14:ligatures w14:val="none"/>
        </w:rPr>
        <w:t>Technical Focus</w:t>
      </w:r>
      <w:r>
        <w:rPr>
          <w:rFonts w:ascii="Times New Roman" w:eastAsia="Times New Roman" w:hAnsi="Times New Roman" w:cs="Times New Roman"/>
          <w:kern w:val="0"/>
          <w14:ligatures w14:val="none"/>
        </w:rPr>
        <w:t xml:space="preserve">: The solution must be </w:t>
      </w:r>
      <w:r w:rsidRPr="00B77BB3">
        <w:rPr>
          <w:rFonts w:ascii="Times New Roman" w:eastAsia="Times New Roman" w:hAnsi="Times New Roman" w:cs="Times New Roman"/>
          <w:kern w:val="0"/>
          <w14:ligatures w14:val="none"/>
        </w:rPr>
        <w:t>center</w:t>
      </w:r>
      <w:r>
        <w:rPr>
          <w:rFonts w:ascii="Times New Roman" w:eastAsia="Times New Roman" w:hAnsi="Times New Roman" w:cs="Times New Roman"/>
          <w:kern w:val="0"/>
          <w14:ligatures w14:val="none"/>
        </w:rPr>
        <w:t>ed</w:t>
      </w:r>
      <w:r w:rsidRPr="00B77BB3">
        <w:rPr>
          <w:rFonts w:ascii="Times New Roman" w:eastAsia="Times New Roman" w:hAnsi="Times New Roman" w:cs="Times New Roman"/>
          <w:kern w:val="0"/>
          <w14:ligatures w14:val="none"/>
        </w:rPr>
        <w:t xml:space="preserve"> on the design, development, and prototyping of advanced microelectronic architectures capable of maintaining spectrum dominance in highly contested and congested Radio Frequency (RF) environments. To counter sophisticated near-peer Electronic Warfare (EW) and jamming capabilities, the proposed solution must deliver ultra-wideband signal processing </w:t>
      </w:r>
      <w:r>
        <w:rPr>
          <w:rFonts w:ascii="Times New Roman" w:eastAsia="Times New Roman" w:hAnsi="Times New Roman" w:cs="Times New Roman"/>
          <w:kern w:val="0"/>
          <w14:ligatures w14:val="none"/>
        </w:rPr>
        <w:t xml:space="preserve">beyond the state of the practice </w:t>
      </w:r>
      <w:r w:rsidRPr="00B77BB3">
        <w:rPr>
          <w:rFonts w:ascii="Times New Roman" w:eastAsia="Times New Roman" w:hAnsi="Times New Roman" w:cs="Times New Roman"/>
          <w:kern w:val="0"/>
          <w14:ligatures w14:val="none"/>
        </w:rPr>
        <w:t>at the tactical edge. This requires moving beyond traditional narrowband, high-latency digital conversion by integrating analog, mixed-signal, or photonic pre-processing directly on-chip. These advanced microelectronic components must demonstrate the high dynamic range necessary to simultaneously nullify high-power, frequency-hopping interference while isolating and preserving critical, low-power signals of interest in real-time without introducing processing lag.</w:t>
      </w:r>
    </w:p>
    <w:p w14:paraId="7D547AE2" w14:textId="77777777" w:rsidR="00201B2A" w:rsidRPr="00851C49" w:rsidRDefault="00201B2A" w:rsidP="00201B2A">
      <w:pPr>
        <w:pStyle w:val="ListParagraph"/>
        <w:spacing w:before="100" w:beforeAutospacing="1" w:after="100" w:afterAutospacing="1" w:line="240" w:lineRule="auto"/>
        <w:rPr>
          <w:rFonts w:ascii="Times New Roman" w:eastAsia="Times New Roman" w:hAnsi="Times New Roman" w:cs="Times New Roman"/>
          <w:kern w:val="0"/>
          <w14:ligatures w14:val="none"/>
        </w:rPr>
      </w:pPr>
      <w:r w:rsidRPr="00851C49">
        <w:rPr>
          <w:rFonts w:ascii="Times New Roman" w:eastAsia="Times New Roman" w:hAnsi="Times New Roman" w:cs="Times New Roman"/>
          <w:kern w:val="0"/>
          <w14:ligatures w14:val="none"/>
        </w:rPr>
        <w:t>Furthermore, the technical focus mandates strict adherence to Size, Weight, Power, and Cost (SWaP-C) optimization to ensure the resulting prototypes are viable for integration into constrained platforms such as Unmanned Aerial Systems (UAS), precision-guided munitions, and mobile Joint All-Domain Command and Control (JADC2) nodes. A critical execution requirement of this effort is the active utilization and maturation of the domestic supply chain, specifically leveraging the established optics, photonics, and RF microelectronics industrial base</w:t>
      </w:r>
      <w:r>
        <w:rPr>
          <w:rFonts w:ascii="Times New Roman" w:eastAsia="Times New Roman" w:hAnsi="Times New Roman" w:cs="Times New Roman"/>
          <w:kern w:val="0"/>
          <w14:ligatures w14:val="none"/>
        </w:rPr>
        <w:t xml:space="preserve">. </w:t>
      </w:r>
      <w:r w:rsidRPr="00851C49">
        <w:rPr>
          <w:rFonts w:ascii="Times New Roman" w:eastAsia="Times New Roman" w:hAnsi="Times New Roman" w:cs="Times New Roman"/>
          <w:kern w:val="0"/>
          <w14:ligatures w14:val="none"/>
        </w:rPr>
        <w:t>Performers must explicitly demonstrate how their technical approach integrates specialized manufacturing, advanced prototyping, and research capabilities to deliver military-grade, environmentally hardened sub-systems (targeting Technology Readiness Level 5 or 6) that are ready for transition into Department of War (DoW) Programs of Record.</w:t>
      </w:r>
    </w:p>
    <w:p w14:paraId="2CFB35ED" w14:textId="77777777" w:rsidR="00201B2A" w:rsidRPr="00426C69" w:rsidRDefault="00201B2A" w:rsidP="00201B2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26C69">
        <w:rPr>
          <w:rFonts w:ascii="Times New Roman" w:eastAsia="Times New Roman" w:hAnsi="Times New Roman" w:cs="Times New Roman"/>
          <w:b/>
          <w:bCs/>
          <w:kern w:val="0"/>
          <w14:ligatures w14:val="none"/>
        </w:rPr>
        <w:t>Funding Limitation:</w:t>
      </w:r>
      <w:r w:rsidRPr="00426C69">
        <w:rPr>
          <w:rFonts w:ascii="Times New Roman" w:eastAsia="Times New Roman" w:hAnsi="Times New Roman" w:cs="Times New Roman"/>
          <w:kern w:val="0"/>
          <w14:ligatures w14:val="none"/>
        </w:rPr>
        <w:t xml:space="preserve"> Up to $</w:t>
      </w:r>
      <w:r>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4</w:t>
      </w:r>
      <w:r w:rsidRPr="00426C69">
        <w:rPr>
          <w:rFonts w:ascii="Times New Roman" w:eastAsia="Times New Roman" w:hAnsi="Times New Roman" w:cs="Times New Roman"/>
          <w:kern w:val="0"/>
          <w14:ligatures w14:val="none"/>
        </w:rPr>
        <w:t xml:space="preserve">00,000 (RDT&amp;E). The Government intends to make a </w:t>
      </w:r>
      <w:r w:rsidRPr="00426C69">
        <w:rPr>
          <w:rFonts w:ascii="Times New Roman" w:eastAsia="Times New Roman" w:hAnsi="Times New Roman" w:cs="Times New Roman"/>
          <w:b/>
          <w:bCs/>
          <w:kern w:val="0"/>
          <w14:ligatures w14:val="none"/>
        </w:rPr>
        <w:t>single award</w:t>
      </w:r>
      <w:r w:rsidRPr="00426C69">
        <w:rPr>
          <w:rFonts w:ascii="Times New Roman" w:eastAsia="Times New Roman" w:hAnsi="Times New Roman" w:cs="Times New Roman"/>
          <w:kern w:val="0"/>
          <w14:ligatures w14:val="none"/>
        </w:rPr>
        <w:t xml:space="preserve"> no greater than the funding limitation. </w:t>
      </w:r>
      <w:r w:rsidRPr="00426C69">
        <w:rPr>
          <w:rFonts w:ascii="Times New Roman" w:eastAsia="Times New Roman" w:hAnsi="Times New Roman" w:cs="Times New Roman"/>
          <w:b/>
          <w:bCs/>
          <w:kern w:val="0"/>
          <w14:ligatures w14:val="none"/>
        </w:rPr>
        <w:t>Teaming arrangements are acceptable</w:t>
      </w:r>
      <w:r w:rsidRPr="00426C69">
        <w:rPr>
          <w:rFonts w:ascii="Times New Roman" w:eastAsia="Times New Roman" w:hAnsi="Times New Roman" w:cs="Times New Roman"/>
          <w:kern w:val="0"/>
          <w14:ligatures w14:val="none"/>
        </w:rPr>
        <w:t xml:space="preserve"> and encouraged to meet complex supply chain requirements.</w:t>
      </w:r>
    </w:p>
    <w:p w14:paraId="1383E8B3" w14:textId="77777777" w:rsidR="00A92FCE" w:rsidRDefault="00A92FCE"/>
    <w:sectPr w:rsidR="00A92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661"/>
    <w:multiLevelType w:val="multilevel"/>
    <w:tmpl w:val="C2B8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D0B96"/>
    <w:multiLevelType w:val="multilevel"/>
    <w:tmpl w:val="338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D4F64"/>
    <w:multiLevelType w:val="multilevel"/>
    <w:tmpl w:val="F9C4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50AE5"/>
    <w:multiLevelType w:val="multilevel"/>
    <w:tmpl w:val="50B0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5B3C52"/>
    <w:multiLevelType w:val="hybridMultilevel"/>
    <w:tmpl w:val="A3EE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823319">
    <w:abstractNumId w:val="2"/>
  </w:num>
  <w:num w:numId="2" w16cid:durableId="994601342">
    <w:abstractNumId w:val="3"/>
  </w:num>
  <w:num w:numId="3" w16cid:durableId="34043737">
    <w:abstractNumId w:val="0"/>
  </w:num>
  <w:num w:numId="4" w16cid:durableId="720833999">
    <w:abstractNumId w:val="4"/>
  </w:num>
  <w:num w:numId="5" w16cid:durableId="30320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96"/>
    <w:rsid w:val="001C378B"/>
    <w:rsid w:val="00201B2A"/>
    <w:rsid w:val="00523F0B"/>
    <w:rsid w:val="009B511F"/>
    <w:rsid w:val="00A92FCE"/>
    <w:rsid w:val="00B80715"/>
    <w:rsid w:val="00DA2496"/>
    <w:rsid w:val="00DB38F5"/>
    <w:rsid w:val="00FC3099"/>
    <w:rsid w:val="00FC7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6CE8D"/>
  <w15:chartTrackingRefBased/>
  <w15:docId w15:val="{51B78A44-2A4E-4552-A16E-59807C6A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B2A"/>
  </w:style>
  <w:style w:type="paragraph" w:styleId="Heading1">
    <w:name w:val="heading 1"/>
    <w:basedOn w:val="Normal"/>
    <w:next w:val="Normal"/>
    <w:link w:val="Heading1Char"/>
    <w:uiPriority w:val="9"/>
    <w:qFormat/>
    <w:rsid w:val="00DA24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24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24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2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2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2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4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24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24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2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2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2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496"/>
    <w:rPr>
      <w:rFonts w:eastAsiaTheme="majorEastAsia" w:cstheme="majorBidi"/>
      <w:color w:val="272727" w:themeColor="text1" w:themeTint="D8"/>
    </w:rPr>
  </w:style>
  <w:style w:type="paragraph" w:styleId="Title">
    <w:name w:val="Title"/>
    <w:basedOn w:val="Normal"/>
    <w:next w:val="Normal"/>
    <w:link w:val="TitleChar"/>
    <w:uiPriority w:val="10"/>
    <w:qFormat/>
    <w:rsid w:val="00DA2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496"/>
    <w:pPr>
      <w:spacing w:before="160"/>
      <w:jc w:val="center"/>
    </w:pPr>
    <w:rPr>
      <w:i/>
      <w:iCs/>
      <w:color w:val="404040" w:themeColor="text1" w:themeTint="BF"/>
    </w:rPr>
  </w:style>
  <w:style w:type="character" w:customStyle="1" w:styleId="QuoteChar">
    <w:name w:val="Quote Char"/>
    <w:basedOn w:val="DefaultParagraphFont"/>
    <w:link w:val="Quote"/>
    <w:uiPriority w:val="29"/>
    <w:rsid w:val="00DA2496"/>
    <w:rPr>
      <w:i/>
      <w:iCs/>
      <w:color w:val="404040" w:themeColor="text1" w:themeTint="BF"/>
    </w:rPr>
  </w:style>
  <w:style w:type="paragraph" w:styleId="ListParagraph">
    <w:name w:val="List Paragraph"/>
    <w:basedOn w:val="Normal"/>
    <w:uiPriority w:val="34"/>
    <w:qFormat/>
    <w:rsid w:val="00DA2496"/>
    <w:pPr>
      <w:ind w:left="720"/>
      <w:contextualSpacing/>
    </w:pPr>
  </w:style>
  <w:style w:type="character" w:styleId="IntenseEmphasis">
    <w:name w:val="Intense Emphasis"/>
    <w:basedOn w:val="DefaultParagraphFont"/>
    <w:uiPriority w:val="21"/>
    <w:qFormat/>
    <w:rsid w:val="00DA2496"/>
    <w:rPr>
      <w:i/>
      <w:iCs/>
      <w:color w:val="0F4761" w:themeColor="accent1" w:themeShade="BF"/>
    </w:rPr>
  </w:style>
  <w:style w:type="paragraph" w:styleId="IntenseQuote">
    <w:name w:val="Intense Quote"/>
    <w:basedOn w:val="Normal"/>
    <w:next w:val="Normal"/>
    <w:link w:val="IntenseQuoteChar"/>
    <w:uiPriority w:val="30"/>
    <w:qFormat/>
    <w:rsid w:val="00DA2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2496"/>
    <w:rPr>
      <w:i/>
      <w:iCs/>
      <w:color w:val="0F4761" w:themeColor="accent1" w:themeShade="BF"/>
    </w:rPr>
  </w:style>
  <w:style w:type="character" w:styleId="IntenseReference">
    <w:name w:val="Intense Reference"/>
    <w:basedOn w:val="DefaultParagraphFont"/>
    <w:uiPriority w:val="32"/>
    <w:qFormat/>
    <w:rsid w:val="00DA24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1485</Words>
  <Characters>8470</Characters>
  <Application>Microsoft Office Word</Application>
  <DocSecurity>0</DocSecurity>
  <Lines>70</Lines>
  <Paragraphs>19</Paragraphs>
  <ScaleCrop>false</ScaleCrop>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Adaro, Jordan D CIV USARMY ACC (USA)</dc:creator>
  <cp:keywords/>
  <dc:description/>
  <cp:lastModifiedBy>Adaro, Jordan D CIV USARMY ACC (USA)</cp:lastModifiedBy>
  <cp:revision>7</cp:revision>
  <dcterms:created xsi:type="dcterms:W3CDTF">2026-04-30T17:10:00Z</dcterms:created>
  <dcterms:modified xsi:type="dcterms:W3CDTF">2026-04-30T17:15:00Z</dcterms:modified>
</cp:coreProperties>
</file>