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84D3"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1.0 BACKGROUND AND AUTHORITY</w:t>
      </w:r>
    </w:p>
    <w:p w14:paraId="45D634D2"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The Defense Industrial Base Consortium (DIBC) is seeking prototype solutions to address critical supply chain vulnerabilities and manufacturing capability gaps within the domestic industrial base. The projects outlined in this Statement of Need (</w:t>
      </w:r>
      <w:proofErr w:type="spellStart"/>
      <w:r w:rsidRPr="00426C69">
        <w:rPr>
          <w:rFonts w:ascii="Times New Roman" w:eastAsia="Times New Roman" w:hAnsi="Times New Roman" w:cs="Times New Roman"/>
          <w:kern w:val="0"/>
          <w14:ligatures w14:val="none"/>
        </w:rPr>
        <w:t>SoN</w:t>
      </w:r>
      <w:proofErr w:type="spellEnd"/>
      <w:r w:rsidRPr="00426C69">
        <w:rPr>
          <w:rFonts w:ascii="Times New Roman" w:eastAsia="Times New Roman" w:hAnsi="Times New Roman" w:cs="Times New Roman"/>
          <w:kern w:val="0"/>
          <w14:ligatures w14:val="none"/>
        </w:rPr>
        <w:t xml:space="preserve">) are subjects of </w:t>
      </w:r>
      <w:r w:rsidRPr="00426C69">
        <w:rPr>
          <w:rFonts w:ascii="Times New Roman" w:eastAsia="Times New Roman" w:hAnsi="Times New Roman" w:cs="Times New Roman"/>
          <w:b/>
          <w:bCs/>
          <w:kern w:val="0"/>
          <w14:ligatures w14:val="none"/>
        </w:rPr>
        <w:t>Congressional Interest</w:t>
      </w:r>
      <w:r w:rsidRPr="00426C69">
        <w:rPr>
          <w:rFonts w:ascii="Times New Roman" w:eastAsia="Times New Roman" w:hAnsi="Times New Roman" w:cs="Times New Roman"/>
          <w:kern w:val="0"/>
          <w14:ligatures w14:val="none"/>
        </w:rPr>
        <w:t xml:space="preserve"> and will be funded using </w:t>
      </w:r>
      <w:r w:rsidRPr="00426C69">
        <w:rPr>
          <w:rFonts w:ascii="Times New Roman" w:eastAsia="Times New Roman" w:hAnsi="Times New Roman" w:cs="Times New Roman"/>
          <w:b/>
          <w:bCs/>
          <w:kern w:val="0"/>
          <w14:ligatures w14:val="none"/>
        </w:rPr>
        <w:t>Research, Development, Test, and Evaluation (RDT&amp;E)</w:t>
      </w:r>
      <w:r w:rsidRPr="00426C69">
        <w:rPr>
          <w:rFonts w:ascii="Times New Roman" w:eastAsia="Times New Roman" w:hAnsi="Times New Roman" w:cs="Times New Roman"/>
          <w:kern w:val="0"/>
          <w14:ligatures w14:val="none"/>
        </w:rPr>
        <w:t xml:space="preserve"> appropriations.</w:t>
      </w:r>
    </w:p>
    <w:p w14:paraId="45B52F89"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All proposed solutions must align with the statutory objectives of the </w:t>
      </w:r>
      <w:r w:rsidRPr="00426C69">
        <w:rPr>
          <w:rFonts w:ascii="Times New Roman" w:eastAsia="Times New Roman" w:hAnsi="Times New Roman" w:cs="Times New Roman"/>
          <w:b/>
          <w:bCs/>
          <w:kern w:val="0"/>
          <w14:ligatures w14:val="none"/>
        </w:rPr>
        <w:t>Industrial Base Analysis and Sustainment (IBAS)</w:t>
      </w:r>
      <w:r w:rsidRPr="00426C69">
        <w:rPr>
          <w:rFonts w:ascii="Times New Roman" w:eastAsia="Times New Roman" w:hAnsi="Times New Roman" w:cs="Times New Roman"/>
          <w:kern w:val="0"/>
          <w14:ligatures w14:val="none"/>
        </w:rPr>
        <w:t xml:space="preserve"> program. The primary goal is to sustain and enhance vital DIB capabilities, mitigate supply chain risks, and scale domestic production capacity to meet Department of Defense (</w:t>
      </w:r>
      <w:r>
        <w:rPr>
          <w:rFonts w:ascii="Times New Roman" w:eastAsia="Times New Roman" w:hAnsi="Times New Roman" w:cs="Times New Roman"/>
          <w:kern w:val="0"/>
          <w14:ligatures w14:val="none"/>
        </w:rPr>
        <w:t>DOW</w:t>
      </w:r>
      <w:r w:rsidRPr="00426C69">
        <w:rPr>
          <w:rFonts w:ascii="Times New Roman" w:eastAsia="Times New Roman" w:hAnsi="Times New Roman" w:cs="Times New Roman"/>
          <w:kern w:val="0"/>
          <w14:ligatures w14:val="none"/>
        </w:rPr>
        <w:t>) operational needs.</w:t>
      </w:r>
    </w:p>
    <w:p w14:paraId="52ED7B6D"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2.0 GENERAL REQUIREMENTS &amp; GOVERNMENT EQUITY</w:t>
      </w:r>
    </w:p>
    <w:p w14:paraId="7BA4EA92"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Because these prototype projects are funded via RDT&amp;E to address critical national security shortfalls, </w:t>
      </w:r>
      <w:r w:rsidRPr="00426C69">
        <w:rPr>
          <w:rFonts w:ascii="Times New Roman" w:eastAsia="Times New Roman" w:hAnsi="Times New Roman" w:cs="Times New Roman"/>
          <w:b/>
          <w:bCs/>
          <w:kern w:val="0"/>
          <w14:ligatures w14:val="none"/>
        </w:rPr>
        <w:t>the Government expects to obtain equity commensurate with its investment.</w:t>
      </w:r>
    </w:p>
    <w:p w14:paraId="00C7EB6A"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For the purposes of this RFS, "Government equity" may include, but is not limited to:</w:t>
      </w:r>
    </w:p>
    <w:p w14:paraId="109EE51A"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Data Rights:</w:t>
      </w:r>
      <w:r w:rsidRPr="00426C69">
        <w:rPr>
          <w:rFonts w:ascii="Times New Roman" w:eastAsia="Times New Roman" w:hAnsi="Times New Roman" w:cs="Times New Roman"/>
          <w:kern w:val="0"/>
          <w14:ligatures w14:val="none"/>
        </w:rPr>
        <w:t xml:space="preserve"> Government Purpose Rights (GPR) to technical data, manufacturing schematics, and software developed under this agreement.</w:t>
      </w:r>
    </w:p>
    <w:p w14:paraId="3AC7D4A3"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Capacity Reservation:</w:t>
      </w:r>
      <w:r w:rsidRPr="00426C69">
        <w:rPr>
          <w:rFonts w:ascii="Times New Roman" w:eastAsia="Times New Roman" w:hAnsi="Times New Roman" w:cs="Times New Roman"/>
          <w:kern w:val="0"/>
          <w14:ligatures w14:val="none"/>
        </w:rPr>
        <w:t xml:space="preserve"> Priority access or reserved production throughput at the upgraded or newly established manufacturing facilities.</w:t>
      </w:r>
    </w:p>
    <w:p w14:paraId="1F354D6B"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Hardware Deliverables:</w:t>
      </w:r>
      <w:r w:rsidRPr="00426C69">
        <w:rPr>
          <w:rFonts w:ascii="Times New Roman" w:eastAsia="Times New Roman" w:hAnsi="Times New Roman" w:cs="Times New Roman"/>
          <w:kern w:val="0"/>
          <w14:ligatures w14:val="none"/>
        </w:rPr>
        <w:t xml:space="preserve"> Delivery of functional prototypes, tooling, or initial low-rate initial production (LRIP) units.</w:t>
      </w:r>
    </w:p>
    <w:p w14:paraId="5AE7B5B8" w14:textId="77777777" w:rsidR="0072321A" w:rsidRPr="00426C69" w:rsidRDefault="0072321A" w:rsidP="0072321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Intellectual Property:</w:t>
      </w:r>
      <w:r w:rsidRPr="00426C69">
        <w:rPr>
          <w:rFonts w:ascii="Times New Roman" w:eastAsia="Times New Roman" w:hAnsi="Times New Roman" w:cs="Times New Roman"/>
          <w:kern w:val="0"/>
          <w14:ligatures w14:val="none"/>
        </w:rPr>
        <w:t xml:space="preserve"> Shared licensing or royalty-free use of novel manufacturing processes developed with Government funds.</w:t>
      </w:r>
    </w:p>
    <w:p w14:paraId="0633485C"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3.0 TOPIC AREAS SUMMARY</w:t>
      </w:r>
    </w:p>
    <w:p w14:paraId="786BB634"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Members may submit Solution Papers for one or more of the following topic areas. Each topic will be evaluated independently.</w:t>
      </w:r>
    </w:p>
    <w:p w14:paraId="5739DF5A" w14:textId="77777777" w:rsidR="0072321A" w:rsidRDefault="0072321A" w:rsidP="0072321A">
      <w:pPr>
        <w:spacing w:before="100" w:beforeAutospacing="1" w:after="100" w:afterAutospacing="1" w:line="240" w:lineRule="auto"/>
        <w:rPr>
          <w:rFonts w:ascii="Times New Roman" w:eastAsia="Times New Roman" w:hAnsi="Times New Roman" w:cs="Times New Roman"/>
          <w:b/>
          <w:bCs/>
          <w:kern w:val="0"/>
          <w14:ligatures w14:val="none"/>
        </w:rPr>
      </w:pPr>
      <w:r w:rsidRPr="00426C69">
        <w:rPr>
          <w:rFonts w:ascii="Times New Roman" w:eastAsia="Times New Roman" w:hAnsi="Times New Roman" w:cs="Times New Roman"/>
          <w:b/>
          <w:bCs/>
          <w:kern w:val="0"/>
          <w14:ligatures w14:val="none"/>
        </w:rPr>
        <w:t>4.0 TECHNICAL TOPIC DESCRIPTIONS</w:t>
      </w:r>
    </w:p>
    <w:p w14:paraId="623A6047" w14:textId="77777777" w:rsidR="0072321A" w:rsidRPr="005C6B3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The core mission of IBAS is to bolster the defense industrial base and secure critical supply chains in specific technical areas. By nature, this mission is often regionally specific.</w:t>
      </w:r>
    </w:p>
    <w:p w14:paraId="748C62CD" w14:textId="77777777"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 xml:space="preserve">To create a resilient and robust domestic supply chain—and to avoid single points of failure—the </w:t>
      </w:r>
      <w:proofErr w:type="spellStart"/>
      <w:r w:rsidRPr="005C6B3A">
        <w:rPr>
          <w:rFonts w:ascii="Times New Roman" w:eastAsia="Times New Roman" w:hAnsi="Times New Roman" w:cs="Times New Roman"/>
          <w:kern w:val="0"/>
          <w14:ligatures w14:val="none"/>
        </w:rPr>
        <w:t>DoW</w:t>
      </w:r>
      <w:proofErr w:type="spellEnd"/>
      <w:r w:rsidRPr="005C6B3A">
        <w:rPr>
          <w:rFonts w:ascii="Times New Roman" w:eastAsia="Times New Roman" w:hAnsi="Times New Roman" w:cs="Times New Roman"/>
          <w:kern w:val="0"/>
          <w14:ligatures w14:val="none"/>
        </w:rPr>
        <w:t xml:space="preserve"> must deliberately establish, scale, and diversify manufacturing capabilities across distinct regional industrial hubs. </w:t>
      </w:r>
    </w:p>
    <w:p w14:paraId="48B7389A" w14:textId="4EC66886"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1: Secure Processor Development</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2D749A" w:rsidRPr="002D749A">
        <w:rPr>
          <w:rFonts w:ascii="Times New Roman" w:eastAsia="Times New Roman" w:hAnsi="Times New Roman" w:cs="Times New Roman"/>
          <w:b/>
          <w:bCs/>
          <w:kern w:val="0"/>
          <w14:ligatures w14:val="none"/>
        </w:rPr>
        <w:t>MIC-26-01-001</w:t>
      </w:r>
      <w:r w:rsidR="002D749A">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 xml:space="preserve">The Government requires a prototype project to develop, mature, and scale the domestic </w:t>
      </w:r>
      <w:r w:rsidRPr="00426C69">
        <w:rPr>
          <w:rFonts w:ascii="Times New Roman" w:eastAsia="Times New Roman" w:hAnsi="Times New Roman" w:cs="Times New Roman"/>
          <w:kern w:val="0"/>
          <w14:ligatures w14:val="none"/>
        </w:rPr>
        <w:lastRenderedPageBreak/>
        <w:t>production of advanced secure processors for defense applications. Modern defense systems operating at the tactical edge require high-performance computing (</w:t>
      </w:r>
      <w:proofErr w:type="spellStart"/>
      <w:r w:rsidRPr="00426C69">
        <w:rPr>
          <w:rFonts w:ascii="Times New Roman" w:eastAsia="Times New Roman" w:hAnsi="Times New Roman" w:cs="Times New Roman"/>
          <w:kern w:val="0"/>
          <w14:ligatures w14:val="none"/>
        </w:rPr>
        <w:t>eg</w:t>
      </w:r>
      <w:proofErr w:type="spellEnd"/>
      <w:r w:rsidRPr="00426C69">
        <w:rPr>
          <w:rFonts w:ascii="Times New Roman" w:eastAsia="Times New Roman" w:hAnsi="Times New Roman" w:cs="Times New Roman"/>
          <w:kern w:val="0"/>
          <w14:ligatures w14:val="none"/>
        </w:rPr>
        <w:t>, AI/ML processing, sensor fusion) while maintaining an absolute Zero-Trust hardware posture. Current commercial-off-the-shelf (COTS) processors are vulnerable to supply chain interdiction, side-channel attacks, and reverse engineering.</w:t>
      </w:r>
      <w:r w:rsidR="0042057D">
        <w:rPr>
          <w:rFonts w:ascii="Times New Roman" w:eastAsia="Times New Roman" w:hAnsi="Times New Roman" w:cs="Times New Roman"/>
          <w:kern w:val="0"/>
          <w14:ligatures w14:val="none"/>
        </w:rPr>
        <w:t xml:space="preserve"> </w:t>
      </w:r>
      <w:r w:rsidR="0042057D" w:rsidRPr="008D708F">
        <w:rPr>
          <w:rFonts w:ascii="Times New Roman" w:eastAsia="Times New Roman" w:hAnsi="Times New Roman" w:cs="Times New Roman"/>
          <w:color w:val="EE0000"/>
          <w:kern w:val="0"/>
          <w14:ligatures w14:val="none"/>
        </w:rPr>
        <w:t xml:space="preserve">While a specific target platform is currently undefined, the objective is to develop </w:t>
      </w:r>
      <w:r w:rsidR="00C142C4" w:rsidRPr="008D708F">
        <w:rPr>
          <w:rFonts w:ascii="Times New Roman" w:eastAsia="Times New Roman" w:hAnsi="Times New Roman" w:cs="Times New Roman"/>
          <w:color w:val="EE0000"/>
          <w:kern w:val="0"/>
          <w14:ligatures w14:val="none"/>
        </w:rPr>
        <w:t>a modular solution that is relevant and adaptable across a wide variety of systems.</w:t>
      </w:r>
      <w:r w:rsidR="00353F7D" w:rsidRPr="008D708F">
        <w:rPr>
          <w:rFonts w:ascii="Times New Roman" w:eastAsia="Times New Roman" w:hAnsi="Times New Roman" w:cs="Times New Roman"/>
          <w:color w:val="EE0000"/>
          <w:kern w:val="0"/>
          <w14:ligatures w14:val="none"/>
        </w:rPr>
        <w:t xml:space="preserve"> </w:t>
      </w:r>
    </w:p>
    <w:p w14:paraId="3803359A" w14:textId="3A9CDFC3" w:rsidR="0072321A" w:rsidRPr="008D708F" w:rsidRDefault="0072321A" w:rsidP="0072321A">
      <w:pPr>
        <w:numPr>
          <w:ilvl w:val="0"/>
          <w:numId w:val="2"/>
        </w:numPr>
        <w:spacing w:before="100" w:beforeAutospacing="1" w:after="100" w:afterAutospacing="1" w:line="240" w:lineRule="auto"/>
        <w:rPr>
          <w:rFonts w:ascii="Times New Roman" w:eastAsia="Times New Roman" w:hAnsi="Times New Roman" w:cs="Times New Roman"/>
          <w:color w:val="EE0000"/>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should emphasize hardware roots of trust (</w:t>
      </w:r>
      <w:proofErr w:type="spellStart"/>
      <w:r>
        <w:rPr>
          <w:rFonts w:ascii="Times New Roman" w:eastAsia="Times New Roman" w:hAnsi="Times New Roman" w:cs="Times New Roman"/>
          <w:kern w:val="0"/>
          <w14:ligatures w14:val="none"/>
        </w:rPr>
        <w:t>H</w:t>
      </w:r>
      <w:r w:rsidRPr="00426C69">
        <w:rPr>
          <w:rFonts w:ascii="Times New Roman" w:eastAsia="Times New Roman" w:hAnsi="Times New Roman" w:cs="Times New Roman"/>
          <w:kern w:val="0"/>
          <w14:ligatures w14:val="none"/>
        </w:rPr>
        <w:t>Ro</w:t>
      </w:r>
      <w:r>
        <w:rPr>
          <w:rFonts w:ascii="Times New Roman" w:eastAsia="Times New Roman" w:hAnsi="Times New Roman" w:cs="Times New Roman"/>
          <w:kern w:val="0"/>
          <w14:ligatures w14:val="none"/>
        </w:rPr>
        <w:t>T</w:t>
      </w:r>
      <w:proofErr w:type="spellEnd"/>
      <w:r w:rsidRPr="00426C69">
        <w:rPr>
          <w:rFonts w:ascii="Times New Roman" w:eastAsia="Times New Roman" w:hAnsi="Times New Roman" w:cs="Times New Roman"/>
          <w:kern w:val="0"/>
          <w14:ligatures w14:val="none"/>
        </w:rPr>
        <w:t>), secure boot mechanisms, inline memory encryption, and resistance to physical and electrical side-channel attacks. Proposals may include advanced 2.5D and 3D heterogeneous integration (HI) packaging, or the integration of secure processor chiplets (such as RISC-V architectures with integrated memory guards) into larger systems on a chip (SoC).</w:t>
      </w:r>
      <w:r w:rsidR="003C24B1">
        <w:rPr>
          <w:rFonts w:ascii="Times New Roman" w:eastAsia="Times New Roman" w:hAnsi="Times New Roman" w:cs="Times New Roman"/>
          <w:kern w:val="0"/>
          <w14:ligatures w14:val="none"/>
        </w:rPr>
        <w:t xml:space="preserve"> </w:t>
      </w:r>
      <w:r w:rsidR="003C24B1" w:rsidRPr="008D708F">
        <w:rPr>
          <w:rFonts w:ascii="Times New Roman" w:eastAsia="Times New Roman" w:hAnsi="Times New Roman" w:cs="Times New Roman"/>
          <w:color w:val="EE0000"/>
          <w:kern w:val="0"/>
          <w14:ligatures w14:val="none"/>
        </w:rPr>
        <w:t xml:space="preserve">Although solutions addressing only one type of exploitation will still be considered, preference will be given to approaches designed to mitigate both non-invasive </w:t>
      </w:r>
      <w:r w:rsidR="00407A78" w:rsidRPr="008D708F">
        <w:rPr>
          <w:rFonts w:ascii="Times New Roman" w:eastAsia="Times New Roman" w:hAnsi="Times New Roman" w:cs="Times New Roman"/>
          <w:color w:val="EE0000"/>
          <w:kern w:val="0"/>
          <w14:ligatures w14:val="none"/>
        </w:rPr>
        <w:t>field collection and laboratory-level exploitation of recovered assets.</w:t>
      </w:r>
    </w:p>
    <w:p w14:paraId="6E2C1DA0" w14:textId="77777777" w:rsidR="0072321A" w:rsidRDefault="0072321A" w:rsidP="0072321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8</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0</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7D13A077" w14:textId="3234655A" w:rsidR="001347CF" w:rsidRPr="008D708F" w:rsidRDefault="00615D9A" w:rsidP="0072321A">
      <w:pPr>
        <w:numPr>
          <w:ilvl w:val="0"/>
          <w:numId w:val="2"/>
        </w:numPr>
        <w:spacing w:before="100" w:beforeAutospacing="1" w:after="100" w:afterAutospacing="1" w:line="240" w:lineRule="auto"/>
        <w:rPr>
          <w:rFonts w:ascii="Times New Roman" w:eastAsia="Times New Roman" w:hAnsi="Times New Roman" w:cs="Times New Roman"/>
          <w:color w:val="EE0000"/>
          <w:kern w:val="0"/>
          <w14:ligatures w14:val="none"/>
        </w:rPr>
      </w:pPr>
      <w:r w:rsidRPr="008D708F">
        <w:rPr>
          <w:rFonts w:ascii="Times New Roman" w:eastAsia="Times New Roman" w:hAnsi="Times New Roman" w:cs="Times New Roman"/>
          <w:b/>
          <w:bCs/>
          <w:color w:val="EE0000"/>
          <w:kern w:val="0"/>
          <w14:ligatures w14:val="none"/>
        </w:rPr>
        <w:t>Period of Performance:</w:t>
      </w:r>
      <w:r w:rsidRPr="008D708F">
        <w:rPr>
          <w:rFonts w:ascii="Times New Roman" w:eastAsia="Times New Roman" w:hAnsi="Times New Roman" w:cs="Times New Roman"/>
          <w:color w:val="EE0000"/>
          <w:kern w:val="0"/>
          <w14:ligatures w14:val="none"/>
        </w:rPr>
        <w:t xml:space="preserve"> </w:t>
      </w:r>
      <w:r w:rsidR="0016163D" w:rsidRPr="008D708F">
        <w:rPr>
          <w:rFonts w:ascii="Times New Roman" w:eastAsia="Times New Roman" w:hAnsi="Times New Roman" w:cs="Times New Roman"/>
          <w:color w:val="EE0000"/>
          <w:kern w:val="0"/>
          <w14:ligatures w14:val="none"/>
        </w:rPr>
        <w:t xml:space="preserve">Up to </w:t>
      </w:r>
      <w:r w:rsidR="00F36031" w:rsidRPr="008D708F">
        <w:rPr>
          <w:rFonts w:ascii="Times New Roman" w:eastAsia="Times New Roman" w:hAnsi="Times New Roman" w:cs="Times New Roman"/>
          <w:color w:val="EE0000"/>
          <w:kern w:val="0"/>
          <w14:ligatures w14:val="none"/>
        </w:rPr>
        <w:t>24 months, but no greater than 36 months</w:t>
      </w:r>
      <w:r w:rsidR="0016163D" w:rsidRPr="008D708F">
        <w:rPr>
          <w:rFonts w:ascii="Times New Roman" w:eastAsia="Times New Roman" w:hAnsi="Times New Roman" w:cs="Times New Roman"/>
          <w:color w:val="EE0000"/>
          <w:kern w:val="0"/>
          <w14:ligatures w14:val="none"/>
        </w:rPr>
        <w:t>.</w:t>
      </w:r>
      <w:r w:rsidR="00D40884" w:rsidRPr="008D708F">
        <w:rPr>
          <w:rFonts w:ascii="Times New Roman" w:eastAsia="Times New Roman" w:hAnsi="Times New Roman" w:cs="Times New Roman"/>
          <w:color w:val="EE0000"/>
          <w:kern w:val="0"/>
          <w14:ligatures w14:val="none"/>
        </w:rPr>
        <w:t xml:space="preserve"> If </w:t>
      </w:r>
      <w:r w:rsidR="006F6BF5" w:rsidRPr="008D708F">
        <w:rPr>
          <w:rFonts w:ascii="Times New Roman" w:eastAsia="Times New Roman" w:hAnsi="Times New Roman" w:cs="Times New Roman"/>
          <w:color w:val="EE0000"/>
          <w:kern w:val="0"/>
          <w14:ligatures w14:val="none"/>
        </w:rPr>
        <w:t>it is longer</w:t>
      </w:r>
      <w:r w:rsidR="00D40884" w:rsidRPr="008D708F">
        <w:rPr>
          <w:rFonts w:ascii="Times New Roman" w:eastAsia="Times New Roman" w:hAnsi="Times New Roman" w:cs="Times New Roman"/>
          <w:color w:val="EE0000"/>
          <w:kern w:val="0"/>
          <w14:ligatures w14:val="none"/>
        </w:rPr>
        <w:t xml:space="preserve"> than 24 months, the project </w:t>
      </w:r>
      <w:r w:rsidR="00A20739" w:rsidRPr="008D708F">
        <w:rPr>
          <w:rFonts w:ascii="Times New Roman" w:eastAsia="Times New Roman" w:hAnsi="Times New Roman" w:cs="Times New Roman"/>
          <w:color w:val="EE0000"/>
          <w:kern w:val="0"/>
          <w14:ligatures w14:val="none"/>
        </w:rPr>
        <w:t xml:space="preserve">shall be broken out by phases with a clear delineation </w:t>
      </w:r>
      <w:proofErr w:type="gramStart"/>
      <w:r w:rsidR="00A20739" w:rsidRPr="008D708F">
        <w:rPr>
          <w:rFonts w:ascii="Times New Roman" w:eastAsia="Times New Roman" w:hAnsi="Times New Roman" w:cs="Times New Roman"/>
          <w:color w:val="EE0000"/>
          <w:kern w:val="0"/>
          <w14:ligatures w14:val="none"/>
        </w:rPr>
        <w:t>at</w:t>
      </w:r>
      <w:proofErr w:type="gramEnd"/>
      <w:r w:rsidR="00A20739" w:rsidRPr="008D708F">
        <w:rPr>
          <w:rFonts w:ascii="Times New Roman" w:eastAsia="Times New Roman" w:hAnsi="Times New Roman" w:cs="Times New Roman"/>
          <w:color w:val="EE0000"/>
          <w:kern w:val="0"/>
          <w14:ligatures w14:val="none"/>
        </w:rPr>
        <w:t xml:space="preserve"> 24 months.</w:t>
      </w:r>
    </w:p>
    <w:p w14:paraId="2D79644F" w14:textId="70769385"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2: Rare Earth Magnet Manufacturing</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2D749A" w:rsidRPr="002D749A">
        <w:rPr>
          <w:rFonts w:ascii="Times New Roman" w:eastAsia="Times New Roman" w:hAnsi="Times New Roman" w:cs="Times New Roman"/>
          <w:b/>
          <w:bCs/>
          <w:kern w:val="0"/>
          <w14:ligatures w14:val="none"/>
        </w:rPr>
        <w:t>SCM-26-01-001</w:t>
      </w:r>
      <w:r w:rsidR="002D749A">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The Government requires prototype solutions to establish or enhance domestic manufacturing capabilities for high-performance rare earth permanent magnets, specifically Neodymium-Iron-Boron (NdFeB) and Samarium-Cobalt (</w:t>
      </w:r>
      <w:proofErr w:type="spellStart"/>
      <w:r w:rsidRPr="00426C69">
        <w:rPr>
          <w:rFonts w:ascii="Times New Roman" w:eastAsia="Times New Roman" w:hAnsi="Times New Roman" w:cs="Times New Roman"/>
          <w:kern w:val="0"/>
          <w14:ligatures w14:val="none"/>
        </w:rPr>
        <w:t>SmCo</w:t>
      </w:r>
      <w:proofErr w:type="spellEnd"/>
      <w:r w:rsidRPr="00426C69">
        <w:rPr>
          <w:rFonts w:ascii="Times New Roman" w:eastAsia="Times New Roman" w:hAnsi="Times New Roman" w:cs="Times New Roman"/>
          <w:kern w:val="0"/>
          <w14:ligatures w14:val="none"/>
        </w:rPr>
        <w:t>). These magnets are critical for defense electric drive systems, radar, missile guidance fins, and advanced actuators (e.g., F-35 and submarine platforms). Currently, foreign entities of concern control over 85% of the global magnet processing and production capacity.</w:t>
      </w:r>
    </w:p>
    <w:p w14:paraId="2509F4CE" w14:textId="2C612C0E" w:rsidR="0072321A" w:rsidRPr="00426C69" w:rsidRDefault="0072321A" w:rsidP="007232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The project must advance a verifiable, secure "mine-to-magnet" supply chain completely bypassing foreign entities of concern</w:t>
      </w:r>
      <w:r w:rsidR="001776BD">
        <w:rPr>
          <w:rFonts w:ascii="Times New Roman" w:eastAsia="Times New Roman" w:hAnsi="Times New Roman" w:cs="Times New Roman"/>
          <w:kern w:val="0"/>
          <w14:ligatures w14:val="none"/>
        </w:rPr>
        <w:t xml:space="preserve"> </w:t>
      </w:r>
      <w:r w:rsidR="001776BD" w:rsidRPr="008D708F">
        <w:rPr>
          <w:rFonts w:ascii="Times New Roman" w:eastAsia="Times New Roman" w:hAnsi="Times New Roman" w:cs="Times New Roman"/>
          <w:color w:val="EE0000"/>
          <w:kern w:val="0"/>
          <w14:ligatures w14:val="none"/>
        </w:rPr>
        <w:t>as offerors should show how they will acquire incoming materials from non-entities of concern and how their products will flow to the downstream marketplace and end stream qualification</w:t>
      </w:r>
      <w:r w:rsidRPr="008D708F">
        <w:rPr>
          <w:rFonts w:ascii="Times New Roman" w:eastAsia="Times New Roman" w:hAnsi="Times New Roman" w:cs="Times New Roman"/>
          <w:color w:val="EE0000"/>
          <w:kern w:val="0"/>
          <w14:ligatures w14:val="none"/>
        </w:rPr>
        <w:t xml:space="preserve">. </w:t>
      </w:r>
      <w:r w:rsidRPr="00130E6C">
        <w:rPr>
          <w:rFonts w:ascii="Times New Roman" w:eastAsia="Times New Roman" w:hAnsi="Times New Roman" w:cs="Times New Roman"/>
          <w:kern w:val="0"/>
          <w14:ligatures w14:val="none"/>
        </w:rPr>
        <w:t>The project may use virgin material sources or recycled materials.</w:t>
      </w:r>
      <w:r>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Technical approaches should highlight advanced sintered manufacturing processes, heavy rare earth (HRE) separation capabilities (specifically isolating Dysprosium and Terbium), or the use of Grain Boundary Diffusion (GBD) technology to maximize high-temperature performance while reducing overall reliance on scarce HREs.</w:t>
      </w:r>
      <w:r w:rsidR="00307AD7">
        <w:rPr>
          <w:rFonts w:ascii="Times New Roman" w:eastAsia="Times New Roman" w:hAnsi="Times New Roman" w:cs="Times New Roman"/>
          <w:kern w:val="0"/>
          <w14:ligatures w14:val="none"/>
        </w:rPr>
        <w:t xml:space="preserve"> </w:t>
      </w:r>
      <w:r w:rsidR="00F7064F" w:rsidRPr="008D708F">
        <w:rPr>
          <w:rFonts w:ascii="Times New Roman" w:eastAsia="Times New Roman" w:hAnsi="Times New Roman" w:cs="Times New Roman"/>
          <w:color w:val="EE0000"/>
          <w:kern w:val="0"/>
          <w14:ligatures w14:val="none"/>
        </w:rPr>
        <w:t xml:space="preserve">Potential processes </w:t>
      </w:r>
      <w:r w:rsidR="00E10703" w:rsidRPr="008D708F">
        <w:rPr>
          <w:rFonts w:ascii="Times New Roman" w:eastAsia="Times New Roman" w:hAnsi="Times New Roman" w:cs="Times New Roman"/>
          <w:color w:val="EE0000"/>
          <w:kern w:val="0"/>
          <w14:ligatures w14:val="none"/>
        </w:rPr>
        <w:t>are neither being included nor excluded for this phase.</w:t>
      </w:r>
      <w:r w:rsidR="00A96861" w:rsidRPr="008D708F">
        <w:rPr>
          <w:rFonts w:ascii="Times New Roman" w:eastAsia="Times New Roman" w:hAnsi="Times New Roman" w:cs="Times New Roman"/>
          <w:color w:val="EE0000"/>
          <w:kern w:val="0"/>
          <w14:ligatures w14:val="none"/>
        </w:rPr>
        <w:t xml:space="preserve"> </w:t>
      </w:r>
      <w:r w:rsidR="00746E19" w:rsidRPr="008D708F">
        <w:rPr>
          <w:rFonts w:ascii="Times New Roman" w:eastAsia="Times New Roman" w:hAnsi="Times New Roman" w:cs="Times New Roman"/>
          <w:color w:val="EE0000"/>
          <w:kern w:val="0"/>
          <w14:ligatures w14:val="none"/>
        </w:rPr>
        <w:t xml:space="preserve">A project with early TRL/MRL </w:t>
      </w:r>
      <w:r w:rsidR="00C36E0A" w:rsidRPr="008D708F">
        <w:rPr>
          <w:rFonts w:ascii="Times New Roman" w:eastAsia="Times New Roman" w:hAnsi="Times New Roman" w:cs="Times New Roman"/>
          <w:color w:val="EE0000"/>
          <w:kern w:val="0"/>
          <w14:ligatures w14:val="none"/>
        </w:rPr>
        <w:t xml:space="preserve">levels may be considered acceptable if the proposed idea ends with prototype TRL/MRLs. Documenting the additional challenges </w:t>
      </w:r>
      <w:r w:rsidR="0069151C" w:rsidRPr="008D708F">
        <w:rPr>
          <w:rFonts w:ascii="Times New Roman" w:eastAsia="Times New Roman" w:hAnsi="Times New Roman" w:cs="Times New Roman"/>
          <w:color w:val="EE0000"/>
          <w:kern w:val="0"/>
          <w14:ligatures w14:val="none"/>
        </w:rPr>
        <w:t xml:space="preserve">of taking a process not previously demonstrated by the offeror and how the offeror will overcome those challenges will enhance the response. </w:t>
      </w:r>
      <w:r w:rsidR="006A21C3" w:rsidRPr="008D708F">
        <w:rPr>
          <w:rFonts w:ascii="Times New Roman" w:eastAsia="Times New Roman" w:hAnsi="Times New Roman" w:cs="Times New Roman"/>
          <w:color w:val="EE0000"/>
          <w:kern w:val="0"/>
          <w14:ligatures w14:val="none"/>
        </w:rPr>
        <w:t xml:space="preserve">For an intermediate feedstock, the offeror would need to show how their proposed product would meet the requirements of their product’s downstream customers. </w:t>
      </w:r>
      <w:r w:rsidR="0061433D" w:rsidRPr="008D708F">
        <w:rPr>
          <w:rFonts w:ascii="Times New Roman" w:eastAsia="Times New Roman" w:hAnsi="Times New Roman" w:cs="Times New Roman"/>
          <w:color w:val="EE0000"/>
          <w:kern w:val="0"/>
          <w14:ligatures w14:val="none"/>
        </w:rPr>
        <w:t xml:space="preserve">This would </w:t>
      </w:r>
      <w:r w:rsidR="0061433D" w:rsidRPr="008D708F">
        <w:rPr>
          <w:rFonts w:ascii="Times New Roman" w:eastAsia="Times New Roman" w:hAnsi="Times New Roman" w:cs="Times New Roman"/>
          <w:color w:val="EE0000"/>
          <w:kern w:val="0"/>
          <w14:ligatures w14:val="none"/>
        </w:rPr>
        <w:lastRenderedPageBreak/>
        <w:t>include meeting the user’s specifications, testing and qualification requirements, which should be discussed accordingly.</w:t>
      </w:r>
      <w:r w:rsidR="004734D8" w:rsidRPr="008D708F">
        <w:rPr>
          <w:rFonts w:ascii="Times New Roman" w:eastAsia="Times New Roman" w:hAnsi="Times New Roman" w:cs="Times New Roman"/>
          <w:color w:val="EE0000"/>
          <w:kern w:val="0"/>
          <w14:ligatures w14:val="none"/>
        </w:rPr>
        <w:t xml:space="preserve"> </w:t>
      </w:r>
    </w:p>
    <w:p w14:paraId="0A014EF7" w14:textId="3F65A5D1" w:rsidR="0072321A" w:rsidRPr="008D708F" w:rsidRDefault="0072321A" w:rsidP="0072321A">
      <w:pPr>
        <w:numPr>
          <w:ilvl w:val="0"/>
          <w:numId w:val="3"/>
        </w:numPr>
        <w:spacing w:before="100" w:beforeAutospacing="1" w:after="100" w:afterAutospacing="1" w:line="240" w:lineRule="auto"/>
        <w:rPr>
          <w:rFonts w:ascii="Times New Roman" w:eastAsia="Times New Roman" w:hAnsi="Times New Roman" w:cs="Times New Roman"/>
          <w:color w:val="EE0000"/>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r w:rsidR="0044548C">
        <w:rPr>
          <w:rFonts w:ascii="Times New Roman" w:eastAsia="Times New Roman" w:hAnsi="Times New Roman" w:cs="Times New Roman"/>
          <w:kern w:val="0"/>
          <w14:ligatures w14:val="none"/>
        </w:rPr>
        <w:t xml:space="preserve"> </w:t>
      </w:r>
      <w:r w:rsidR="0044548C" w:rsidRPr="008D708F">
        <w:rPr>
          <w:rFonts w:ascii="Times New Roman" w:eastAsia="Times New Roman" w:hAnsi="Times New Roman" w:cs="Times New Roman"/>
          <w:color w:val="EE0000"/>
          <w:kern w:val="0"/>
          <w14:ligatures w14:val="none"/>
        </w:rPr>
        <w:t xml:space="preserve">If the offeror’s proposed project has future post-prototype development phases, </w:t>
      </w:r>
      <w:r w:rsidR="00BC01D2" w:rsidRPr="008D708F">
        <w:rPr>
          <w:rFonts w:ascii="Times New Roman" w:eastAsia="Times New Roman" w:hAnsi="Times New Roman" w:cs="Times New Roman"/>
          <w:color w:val="EE0000"/>
          <w:kern w:val="0"/>
          <w14:ligatures w14:val="none"/>
        </w:rPr>
        <w:t xml:space="preserve">future phase ROM’s can be included as unfunded options for future planning purposes. However, there is no intention </w:t>
      </w:r>
      <w:r w:rsidR="006F6BF5" w:rsidRPr="008D708F">
        <w:rPr>
          <w:rFonts w:ascii="Times New Roman" w:eastAsia="Times New Roman" w:hAnsi="Times New Roman" w:cs="Times New Roman"/>
          <w:color w:val="EE0000"/>
          <w:kern w:val="0"/>
          <w14:ligatures w14:val="none"/>
        </w:rPr>
        <w:t>of adding</w:t>
      </w:r>
      <w:r w:rsidR="00BC01D2" w:rsidRPr="008D708F">
        <w:rPr>
          <w:rFonts w:ascii="Times New Roman" w:eastAsia="Times New Roman" w:hAnsi="Times New Roman" w:cs="Times New Roman"/>
          <w:color w:val="EE0000"/>
          <w:kern w:val="0"/>
          <w14:ligatures w14:val="none"/>
        </w:rPr>
        <w:t xml:space="preserve"> funding to this award.</w:t>
      </w:r>
    </w:p>
    <w:p w14:paraId="6F3F222F" w14:textId="77777777" w:rsidR="0072321A" w:rsidRDefault="0072321A" w:rsidP="0072321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937DB">
        <w:rPr>
          <w:rFonts w:ascii="Times New Roman" w:eastAsia="Times New Roman" w:hAnsi="Times New Roman" w:cs="Times New Roman"/>
          <w:b/>
          <w:bCs/>
          <w:kern w:val="0"/>
          <w14:ligatures w14:val="none"/>
        </w:rPr>
        <w:t>Economic Participation:</w:t>
      </w:r>
      <w:r w:rsidRPr="00D937DB">
        <w:rPr>
          <w:rFonts w:ascii="Times New Roman" w:eastAsia="Times New Roman" w:hAnsi="Times New Roman" w:cs="Times New Roman"/>
          <w:kern w:val="0"/>
          <w14:ligatures w14:val="none"/>
        </w:rPr>
        <w:t xml:space="preserve"> To ensure a resilient domestic supply chain, the Government seeks solutions demonstrating shared financial investment and long-term commercial sustainment. In alignment with the IBAS mission to establish and diversify regional centers of excellence, the Government will favorably evaluate proposals that build or utilize robust industrial infrastructure, integrate localized supply chains, and develop specialized workforces for domestic magnet manufacturing. The highest evaluation preference will be given to proposed solutions that strategically locate operations within established or rapidly emerging U.S. automotive, aerospace, or advanced manufacturing corridors to leverage existing industrial synergies."</w:t>
      </w:r>
      <w:r>
        <w:rPr>
          <w:rFonts w:ascii="Times New Roman" w:eastAsia="Times New Roman" w:hAnsi="Times New Roman" w:cs="Times New Roman"/>
          <w:kern w:val="0"/>
          <w14:ligatures w14:val="none"/>
        </w:rPr>
        <w:t xml:space="preserve"> </w:t>
      </w:r>
    </w:p>
    <w:p w14:paraId="062D0A8A" w14:textId="1448D41C" w:rsidR="00477311" w:rsidRPr="008D708F" w:rsidRDefault="00477311" w:rsidP="00477311">
      <w:pPr>
        <w:numPr>
          <w:ilvl w:val="0"/>
          <w:numId w:val="3"/>
        </w:numPr>
        <w:spacing w:before="100" w:beforeAutospacing="1" w:after="100" w:afterAutospacing="1" w:line="240" w:lineRule="auto"/>
        <w:rPr>
          <w:rFonts w:ascii="Times New Roman" w:eastAsia="Times New Roman" w:hAnsi="Times New Roman" w:cs="Times New Roman"/>
          <w:color w:val="EE0000"/>
          <w:kern w:val="0"/>
          <w14:ligatures w14:val="none"/>
        </w:rPr>
      </w:pPr>
      <w:r w:rsidRPr="008D708F">
        <w:rPr>
          <w:rFonts w:ascii="Times New Roman" w:eastAsia="Times New Roman" w:hAnsi="Times New Roman" w:cs="Times New Roman"/>
          <w:b/>
          <w:bCs/>
          <w:color w:val="EE0000"/>
          <w:kern w:val="0"/>
          <w14:ligatures w14:val="none"/>
        </w:rPr>
        <w:t>Period of Performance:</w:t>
      </w:r>
      <w:r w:rsidRPr="008D708F">
        <w:rPr>
          <w:rFonts w:ascii="Times New Roman" w:eastAsia="Times New Roman" w:hAnsi="Times New Roman" w:cs="Times New Roman"/>
          <w:color w:val="EE0000"/>
          <w:kern w:val="0"/>
          <w14:ligatures w14:val="none"/>
        </w:rPr>
        <w:t xml:space="preserve"> Up to 24 months, but no greater than 36 months. If </w:t>
      </w:r>
      <w:r w:rsidR="006F6BF5" w:rsidRPr="008D708F">
        <w:rPr>
          <w:rFonts w:ascii="Times New Roman" w:eastAsia="Times New Roman" w:hAnsi="Times New Roman" w:cs="Times New Roman"/>
          <w:color w:val="EE0000"/>
          <w:kern w:val="0"/>
          <w14:ligatures w14:val="none"/>
        </w:rPr>
        <w:t>it is longer</w:t>
      </w:r>
      <w:r w:rsidRPr="008D708F">
        <w:rPr>
          <w:rFonts w:ascii="Times New Roman" w:eastAsia="Times New Roman" w:hAnsi="Times New Roman" w:cs="Times New Roman"/>
          <w:color w:val="EE0000"/>
          <w:kern w:val="0"/>
          <w14:ligatures w14:val="none"/>
        </w:rPr>
        <w:t xml:space="preserve"> than 24 months, the project shall be broken out by phases with a clear delineation </w:t>
      </w:r>
      <w:proofErr w:type="gramStart"/>
      <w:r w:rsidRPr="008D708F">
        <w:rPr>
          <w:rFonts w:ascii="Times New Roman" w:eastAsia="Times New Roman" w:hAnsi="Times New Roman" w:cs="Times New Roman"/>
          <w:color w:val="EE0000"/>
          <w:kern w:val="0"/>
          <w14:ligatures w14:val="none"/>
        </w:rPr>
        <w:t>at</w:t>
      </w:r>
      <w:proofErr w:type="gramEnd"/>
      <w:r w:rsidRPr="008D708F">
        <w:rPr>
          <w:rFonts w:ascii="Times New Roman" w:eastAsia="Times New Roman" w:hAnsi="Times New Roman" w:cs="Times New Roman"/>
          <w:color w:val="EE0000"/>
          <w:kern w:val="0"/>
          <w14:ligatures w14:val="none"/>
        </w:rPr>
        <w:t xml:space="preserve"> 24 months.</w:t>
      </w:r>
    </w:p>
    <w:p w14:paraId="640F57B6" w14:textId="7AF9BD84" w:rsidR="0072321A" w:rsidRPr="00426C69"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 xml:space="preserve">Topic </w:t>
      </w:r>
      <w:r>
        <w:rPr>
          <w:rFonts w:ascii="Times New Roman" w:eastAsia="Times New Roman" w:hAnsi="Times New Roman" w:cs="Times New Roman"/>
          <w:b/>
          <w:bCs/>
          <w:kern w:val="0"/>
          <w14:ligatures w14:val="none"/>
        </w:rPr>
        <w:t>3</w:t>
      </w:r>
      <w:r w:rsidRPr="00426C69">
        <w:rPr>
          <w:rFonts w:ascii="Times New Roman" w:eastAsia="Times New Roman" w:hAnsi="Times New Roman" w:cs="Times New Roman"/>
          <w:b/>
          <w:bCs/>
          <w:kern w:val="0"/>
          <w14:ligatures w14:val="none"/>
        </w:rPr>
        <w:t>: Industrial Forge Quenching Capacity Improvement</w:t>
      </w:r>
      <w:r w:rsidR="002D749A">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2D749A">
        <w:rPr>
          <w:rFonts w:ascii="Times New Roman" w:eastAsia="Times New Roman" w:hAnsi="Times New Roman" w:cs="Times New Roman"/>
          <w:b/>
          <w:bCs/>
          <w:kern w:val="0"/>
          <w14:ligatures w14:val="none"/>
        </w:rPr>
        <w:t>(</w:t>
      </w:r>
      <w:r w:rsidR="00E35FC4" w:rsidRPr="00E35FC4">
        <w:rPr>
          <w:rFonts w:ascii="Times New Roman" w:eastAsia="Times New Roman" w:hAnsi="Times New Roman" w:cs="Times New Roman"/>
          <w:b/>
          <w:bCs/>
          <w:kern w:val="0"/>
          <w14:ligatures w14:val="none"/>
        </w:rPr>
        <w:t>CF-26-</w:t>
      </w:r>
      <w:proofErr w:type="gramStart"/>
      <w:r w:rsidR="00E35FC4" w:rsidRPr="00E35FC4">
        <w:rPr>
          <w:rFonts w:ascii="Times New Roman" w:eastAsia="Times New Roman" w:hAnsi="Times New Roman" w:cs="Times New Roman"/>
          <w:b/>
          <w:bCs/>
          <w:kern w:val="0"/>
          <w14:ligatures w14:val="none"/>
        </w:rPr>
        <w:t>01-</w:t>
      </w:r>
      <w:proofErr w:type="gramEnd"/>
      <w:r w:rsidR="00E35FC4" w:rsidRPr="00E35FC4">
        <w:rPr>
          <w:rFonts w:ascii="Times New Roman" w:eastAsia="Times New Roman" w:hAnsi="Times New Roman" w:cs="Times New Roman"/>
          <w:b/>
          <w:bCs/>
          <w:kern w:val="0"/>
          <w14:ligatures w14:val="none"/>
        </w:rPr>
        <w:t>001</w:t>
      </w:r>
      <w:r w:rsidR="00E35FC4">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br/>
        <w:t>Heavy forging is a foundational requirement for major defense platforms, particularly within the Submarine Industrial Base (SIB), shipbuilding, and heavy armor. The Government requires a prototype project to design, upgrade, and validate improved industrial forge quenching capacity. Current domestic infrastructure is a major bottleneck, leading to extended lead times for ultra-large cast and forged components.</w:t>
      </w:r>
      <w:r w:rsidR="00F16AEE">
        <w:rPr>
          <w:rFonts w:ascii="Times New Roman" w:eastAsia="Times New Roman" w:hAnsi="Times New Roman" w:cs="Times New Roman"/>
          <w:kern w:val="0"/>
          <w14:ligatures w14:val="none"/>
        </w:rPr>
        <w:t xml:space="preserve"> </w:t>
      </w:r>
      <w:r w:rsidR="00F16AEE" w:rsidRPr="008D708F">
        <w:rPr>
          <w:rFonts w:ascii="Times New Roman" w:eastAsia="Times New Roman" w:hAnsi="Times New Roman" w:cs="Times New Roman"/>
          <w:color w:val="EE0000"/>
          <w:kern w:val="0"/>
          <w14:ligatures w14:val="none"/>
        </w:rPr>
        <w:t>The focus of this topic is a proven, scalable prototype.</w:t>
      </w:r>
      <w:r w:rsidR="00166090" w:rsidRPr="008D708F">
        <w:rPr>
          <w:rFonts w:ascii="Times New Roman" w:eastAsia="Times New Roman" w:hAnsi="Times New Roman" w:cs="Times New Roman"/>
          <w:color w:val="EE0000"/>
          <w:kern w:val="0"/>
          <w14:ligatures w14:val="none"/>
        </w:rPr>
        <w:t xml:space="preserve"> Greater </w:t>
      </w:r>
      <w:r w:rsidR="00AE694B" w:rsidRPr="008D708F">
        <w:rPr>
          <w:rFonts w:ascii="Times New Roman" w:eastAsia="Times New Roman" w:hAnsi="Times New Roman" w:cs="Times New Roman"/>
          <w:color w:val="EE0000"/>
          <w:kern w:val="0"/>
          <w14:ligatures w14:val="none"/>
        </w:rPr>
        <w:t>evaluation preference will be granted to proposals that offer a scalable solution.</w:t>
      </w:r>
    </w:p>
    <w:p w14:paraId="3BA4DE06" w14:textId="1C3AD150" w:rsidR="0072321A" w:rsidRPr="00426C69"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must demonstrate the implementation of advanced quenching infrastructure (</w:t>
      </w:r>
      <w:proofErr w:type="spellStart"/>
      <w:r w:rsidRPr="00426C69">
        <w:rPr>
          <w:rFonts w:ascii="Times New Roman" w:eastAsia="Times New Roman" w:hAnsi="Times New Roman" w:cs="Times New Roman"/>
          <w:kern w:val="0"/>
          <w14:ligatures w14:val="none"/>
        </w:rPr>
        <w:t>eg</w:t>
      </w:r>
      <w:proofErr w:type="spellEnd"/>
      <w:r w:rsidRPr="00426C69">
        <w:rPr>
          <w:rFonts w:ascii="Times New Roman" w:eastAsia="Times New Roman" w:hAnsi="Times New Roman" w:cs="Times New Roman"/>
          <w:kern w:val="0"/>
          <w14:ligatures w14:val="none"/>
        </w:rPr>
        <w:t>, large-scale water, oil, or polymer quench tanks). The technical approach should feature automated, sensor-driven temperature monitoring and controlled cooling rates to guarantee metallurgical consistency, prevent stress fractures in heavy steel/titanium alloys, and significantly increase throughput for Navy and Army platform components.</w:t>
      </w:r>
      <w:r w:rsidR="00086D1B">
        <w:rPr>
          <w:rFonts w:ascii="Times New Roman" w:eastAsia="Times New Roman" w:hAnsi="Times New Roman" w:cs="Times New Roman"/>
          <w:kern w:val="0"/>
          <w14:ligatures w14:val="none"/>
        </w:rPr>
        <w:t xml:space="preserve"> </w:t>
      </w:r>
      <w:r w:rsidR="009C00F5" w:rsidRPr="008D708F">
        <w:rPr>
          <w:rFonts w:ascii="Times New Roman" w:eastAsia="Times New Roman" w:hAnsi="Times New Roman" w:cs="Times New Roman"/>
          <w:color w:val="EE0000"/>
          <w:kern w:val="0"/>
          <w14:ligatures w14:val="none"/>
        </w:rPr>
        <w:t>For clarification, significantly increased th</w:t>
      </w:r>
      <w:r w:rsidR="00E20379" w:rsidRPr="008D708F">
        <w:rPr>
          <w:rFonts w:ascii="Times New Roman" w:eastAsia="Times New Roman" w:hAnsi="Times New Roman" w:cs="Times New Roman"/>
          <w:color w:val="EE0000"/>
          <w:kern w:val="0"/>
          <w14:ligatures w14:val="none"/>
        </w:rPr>
        <w:t xml:space="preserve">roughput should not be interpreted solely as </w:t>
      </w:r>
      <w:r w:rsidR="0040444D" w:rsidRPr="008D708F">
        <w:rPr>
          <w:rFonts w:ascii="Times New Roman" w:eastAsia="Times New Roman" w:hAnsi="Times New Roman" w:cs="Times New Roman"/>
          <w:color w:val="EE0000"/>
          <w:kern w:val="0"/>
          <w14:ligatures w14:val="none"/>
        </w:rPr>
        <w:t xml:space="preserve">additional physical quench tank capacity. </w:t>
      </w:r>
      <w:r w:rsidR="00127710" w:rsidRPr="008D708F">
        <w:rPr>
          <w:rFonts w:ascii="Times New Roman" w:eastAsia="Times New Roman" w:hAnsi="Times New Roman" w:cs="Times New Roman"/>
          <w:color w:val="EE0000"/>
          <w:kern w:val="0"/>
          <w14:ligatures w14:val="none"/>
        </w:rPr>
        <w:t xml:space="preserve">Throughput is not specifically defined, but acceptable improvement should </w:t>
      </w:r>
      <w:r w:rsidR="00842987" w:rsidRPr="008D708F">
        <w:rPr>
          <w:rFonts w:ascii="Times New Roman" w:eastAsia="Times New Roman" w:hAnsi="Times New Roman" w:cs="Times New Roman"/>
          <w:color w:val="EE0000"/>
          <w:kern w:val="0"/>
          <w14:ligatures w14:val="none"/>
        </w:rPr>
        <w:t xml:space="preserve">include but not be limited </w:t>
      </w:r>
      <w:proofErr w:type="gramStart"/>
      <w:r w:rsidR="00842987" w:rsidRPr="008D708F">
        <w:rPr>
          <w:rFonts w:ascii="Times New Roman" w:eastAsia="Times New Roman" w:hAnsi="Times New Roman" w:cs="Times New Roman"/>
          <w:color w:val="EE0000"/>
          <w:kern w:val="0"/>
          <w14:ligatures w14:val="none"/>
        </w:rPr>
        <w:t>to:</w:t>
      </w:r>
      <w:proofErr w:type="gramEnd"/>
      <w:r w:rsidR="00842987" w:rsidRPr="008D708F">
        <w:rPr>
          <w:rFonts w:ascii="Times New Roman" w:eastAsia="Times New Roman" w:hAnsi="Times New Roman" w:cs="Times New Roman"/>
          <w:color w:val="EE0000"/>
          <w:kern w:val="0"/>
          <w14:ligatures w14:val="none"/>
        </w:rPr>
        <w:t xml:space="preserve"> better process stability, reduced downtime</w:t>
      </w:r>
      <w:r w:rsidR="00852667" w:rsidRPr="008D708F">
        <w:rPr>
          <w:rFonts w:ascii="Times New Roman" w:eastAsia="Times New Roman" w:hAnsi="Times New Roman" w:cs="Times New Roman"/>
          <w:color w:val="EE0000"/>
          <w:kern w:val="0"/>
          <w14:ligatures w14:val="none"/>
        </w:rPr>
        <w:t>, lower defect rates, etc.</w:t>
      </w:r>
      <w:r w:rsidR="008A6412" w:rsidRPr="008D708F">
        <w:rPr>
          <w:rFonts w:ascii="Times New Roman" w:eastAsia="Times New Roman" w:hAnsi="Times New Roman" w:cs="Times New Roman"/>
          <w:color w:val="EE0000"/>
          <w:kern w:val="0"/>
          <w14:ligatures w14:val="none"/>
        </w:rPr>
        <w:t xml:space="preserve"> </w:t>
      </w:r>
      <w:r w:rsidR="00630447" w:rsidRPr="008D708F">
        <w:rPr>
          <w:rFonts w:ascii="Times New Roman" w:eastAsia="Times New Roman" w:hAnsi="Times New Roman" w:cs="Times New Roman"/>
          <w:color w:val="EE0000"/>
          <w:kern w:val="0"/>
          <w14:ligatures w14:val="none"/>
        </w:rPr>
        <w:t xml:space="preserve">Upgrading existing infrastructure </w:t>
      </w:r>
      <w:r w:rsidR="00EA6D55" w:rsidRPr="008D708F">
        <w:rPr>
          <w:rFonts w:ascii="Times New Roman" w:eastAsia="Times New Roman" w:hAnsi="Times New Roman" w:cs="Times New Roman"/>
          <w:color w:val="EE0000"/>
          <w:kern w:val="0"/>
          <w14:ligatures w14:val="none"/>
        </w:rPr>
        <w:t xml:space="preserve">would </w:t>
      </w:r>
      <w:r w:rsidR="009D08CE" w:rsidRPr="008D708F">
        <w:rPr>
          <w:rFonts w:ascii="Times New Roman" w:eastAsia="Times New Roman" w:hAnsi="Times New Roman" w:cs="Times New Roman"/>
          <w:color w:val="EE0000"/>
          <w:kern w:val="0"/>
          <w14:ligatures w14:val="none"/>
        </w:rPr>
        <w:t xml:space="preserve">satisfy this requirement. </w:t>
      </w:r>
      <w:r w:rsidR="00771012" w:rsidRPr="008D708F">
        <w:rPr>
          <w:rFonts w:ascii="Times New Roman" w:eastAsia="Times New Roman" w:hAnsi="Times New Roman" w:cs="Times New Roman"/>
          <w:color w:val="EE0000"/>
          <w:kern w:val="0"/>
          <w14:ligatures w14:val="none"/>
        </w:rPr>
        <w:t xml:space="preserve">Proposals that design, upgrade, and validate improved industrial </w:t>
      </w:r>
      <w:r w:rsidR="00D15285" w:rsidRPr="008D708F">
        <w:rPr>
          <w:rFonts w:ascii="Times New Roman" w:eastAsia="Times New Roman" w:hAnsi="Times New Roman" w:cs="Times New Roman"/>
          <w:color w:val="EE0000"/>
          <w:kern w:val="0"/>
          <w14:ligatures w14:val="none"/>
        </w:rPr>
        <w:t xml:space="preserve">forge quenching capacity are desired. </w:t>
      </w:r>
      <w:r w:rsidR="00D9275F" w:rsidRPr="008D708F">
        <w:rPr>
          <w:rFonts w:ascii="Times New Roman" w:eastAsia="Times New Roman" w:hAnsi="Times New Roman" w:cs="Times New Roman"/>
          <w:color w:val="EE0000"/>
          <w:kern w:val="0"/>
          <w14:ligatures w14:val="none"/>
        </w:rPr>
        <w:t xml:space="preserve">Modernization </w:t>
      </w:r>
      <w:r w:rsidR="0083716C" w:rsidRPr="008D708F">
        <w:rPr>
          <w:rFonts w:ascii="Times New Roman" w:eastAsia="Times New Roman" w:hAnsi="Times New Roman" w:cs="Times New Roman"/>
          <w:color w:val="EE0000"/>
          <w:kern w:val="0"/>
          <w14:ligatures w14:val="none"/>
        </w:rPr>
        <w:t>is a valid approach to meet the advanced quenching infrastructure requirement.</w:t>
      </w:r>
      <w:r w:rsidR="00AA3B74" w:rsidRPr="008D708F">
        <w:rPr>
          <w:rFonts w:ascii="Times New Roman" w:eastAsia="Times New Roman" w:hAnsi="Times New Roman" w:cs="Times New Roman"/>
          <w:color w:val="EE0000"/>
          <w:kern w:val="0"/>
          <w14:ligatures w14:val="none"/>
        </w:rPr>
        <w:t xml:space="preserve"> </w:t>
      </w:r>
      <w:r w:rsidR="00EE7860" w:rsidRPr="008D708F">
        <w:rPr>
          <w:rFonts w:ascii="Times New Roman" w:eastAsia="Times New Roman" w:hAnsi="Times New Roman" w:cs="Times New Roman"/>
          <w:color w:val="EE0000"/>
          <w:kern w:val="0"/>
          <w14:ligatures w14:val="none"/>
        </w:rPr>
        <w:t>For validation and testing outputs, p</w:t>
      </w:r>
      <w:r w:rsidR="00407EF9" w:rsidRPr="008D708F">
        <w:rPr>
          <w:rFonts w:ascii="Times New Roman" w:eastAsia="Times New Roman" w:hAnsi="Times New Roman" w:cs="Times New Roman"/>
          <w:color w:val="EE0000"/>
          <w:kern w:val="0"/>
          <w14:ligatures w14:val="none"/>
        </w:rPr>
        <w:t xml:space="preserve">roposals </w:t>
      </w:r>
      <w:r w:rsidR="00BB6C8C" w:rsidRPr="008D708F">
        <w:rPr>
          <w:rFonts w:ascii="Times New Roman" w:eastAsia="Times New Roman" w:hAnsi="Times New Roman" w:cs="Times New Roman"/>
          <w:color w:val="EE0000"/>
          <w:kern w:val="0"/>
          <w14:ligatures w14:val="none"/>
        </w:rPr>
        <w:t xml:space="preserve">will need to provide their own metrics to prove structural consistency and </w:t>
      </w:r>
      <w:proofErr w:type="gramStart"/>
      <w:r w:rsidR="00BB6C8C" w:rsidRPr="008D708F">
        <w:rPr>
          <w:rFonts w:ascii="Times New Roman" w:eastAsia="Times New Roman" w:hAnsi="Times New Roman" w:cs="Times New Roman"/>
          <w:color w:val="EE0000"/>
          <w:kern w:val="0"/>
          <w14:ligatures w14:val="none"/>
        </w:rPr>
        <w:t>fracture</w:t>
      </w:r>
      <w:proofErr w:type="gramEnd"/>
      <w:r w:rsidR="00BB6C8C" w:rsidRPr="008D708F">
        <w:rPr>
          <w:rFonts w:ascii="Times New Roman" w:eastAsia="Times New Roman" w:hAnsi="Times New Roman" w:cs="Times New Roman"/>
          <w:color w:val="EE0000"/>
          <w:kern w:val="0"/>
          <w14:ligatures w14:val="none"/>
        </w:rPr>
        <w:t xml:space="preserve"> resilience according to required specifications provided by the </w:t>
      </w:r>
      <w:proofErr w:type="spellStart"/>
      <w:r w:rsidR="00BB6C8C" w:rsidRPr="008D708F">
        <w:rPr>
          <w:rFonts w:ascii="Times New Roman" w:eastAsia="Times New Roman" w:hAnsi="Times New Roman" w:cs="Times New Roman"/>
          <w:color w:val="EE0000"/>
          <w:kern w:val="0"/>
          <w14:ligatures w14:val="none"/>
        </w:rPr>
        <w:t>DoW</w:t>
      </w:r>
      <w:proofErr w:type="spellEnd"/>
      <w:r w:rsidR="00BB6C8C" w:rsidRPr="008D708F">
        <w:rPr>
          <w:rFonts w:ascii="Times New Roman" w:eastAsia="Times New Roman" w:hAnsi="Times New Roman" w:cs="Times New Roman"/>
          <w:color w:val="EE0000"/>
          <w:kern w:val="0"/>
          <w14:ligatures w14:val="none"/>
        </w:rPr>
        <w:t>.</w:t>
      </w:r>
    </w:p>
    <w:p w14:paraId="3EE65E27" w14:textId="70ADF797" w:rsidR="0072321A" w:rsidRPr="00426C69"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lastRenderedPageBreak/>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007C626E" w:rsidRPr="008D708F">
        <w:rPr>
          <w:rFonts w:ascii="Times New Roman" w:eastAsia="Times New Roman" w:hAnsi="Times New Roman" w:cs="Times New Roman"/>
          <w:color w:val="EE0000"/>
          <w:kern w:val="0"/>
          <w14:ligatures w14:val="none"/>
        </w:rPr>
        <w:t>Teaming arrangements and solutions that expand operations in heavy industrial infrastructure are encouraged. Additionally, forge facility identification prior to proposal submission is flexible, while partner sites are not required to be locked in at submission and can be finalized during award negotiations.</w:t>
      </w:r>
    </w:p>
    <w:p w14:paraId="26B6CD12" w14:textId="6DD36B7E" w:rsidR="0072321A" w:rsidRDefault="0072321A" w:rsidP="0072321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Economic Participation</w:t>
      </w:r>
      <w:r w:rsidRPr="00426C69">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t xml:space="preserve"> </w:t>
      </w:r>
      <w:r w:rsidRPr="00A33E80">
        <w:rPr>
          <w:rFonts w:ascii="Times New Roman" w:eastAsia="Times New Roman" w:hAnsi="Times New Roman" w:cs="Times New Roman"/>
          <w:kern w:val="0"/>
          <w14:ligatures w14:val="none"/>
        </w:rPr>
        <w:t>To meet the IBAS strategic requirement for expanding geographically distinct heavy industrial infrastructure, the Government seeks proposals that drive direct economic participation and localized industrial impact. The highest evaluation preference will be given to proposed solutions that establish or expand operations within regions offering established heavy manufacturing ecosystems, high-capacity energy grids, and strategic logistical access to rapidly scale domestic infrastructure capabilities."</w:t>
      </w:r>
      <w:r w:rsidR="00F55142">
        <w:rPr>
          <w:rFonts w:ascii="Times New Roman" w:eastAsia="Times New Roman" w:hAnsi="Times New Roman" w:cs="Times New Roman"/>
          <w:kern w:val="0"/>
          <w14:ligatures w14:val="none"/>
        </w:rPr>
        <w:t xml:space="preserve"> </w:t>
      </w:r>
    </w:p>
    <w:p w14:paraId="20AA7DDE" w14:textId="380CD4F2" w:rsidR="008C0B84" w:rsidRPr="008D708F" w:rsidRDefault="008C0B84" w:rsidP="0072321A">
      <w:pPr>
        <w:numPr>
          <w:ilvl w:val="0"/>
          <w:numId w:val="4"/>
        </w:numPr>
        <w:spacing w:before="100" w:beforeAutospacing="1" w:after="100" w:afterAutospacing="1" w:line="240" w:lineRule="auto"/>
        <w:rPr>
          <w:rFonts w:ascii="Times New Roman" w:eastAsia="Times New Roman" w:hAnsi="Times New Roman" w:cs="Times New Roman"/>
          <w:color w:val="EE0000"/>
          <w:kern w:val="0"/>
          <w14:ligatures w14:val="none"/>
        </w:rPr>
      </w:pPr>
      <w:r w:rsidRPr="008D708F">
        <w:rPr>
          <w:rFonts w:ascii="Times New Roman" w:eastAsia="Times New Roman" w:hAnsi="Times New Roman" w:cs="Times New Roman"/>
          <w:b/>
          <w:bCs/>
          <w:color w:val="EE0000"/>
          <w:kern w:val="0"/>
          <w14:ligatures w14:val="none"/>
        </w:rPr>
        <w:t>Da</w:t>
      </w:r>
      <w:r w:rsidR="00891604" w:rsidRPr="008D708F">
        <w:rPr>
          <w:rFonts w:ascii="Times New Roman" w:eastAsia="Times New Roman" w:hAnsi="Times New Roman" w:cs="Times New Roman"/>
          <w:b/>
          <w:bCs/>
          <w:color w:val="EE0000"/>
          <w:kern w:val="0"/>
          <w14:ligatures w14:val="none"/>
        </w:rPr>
        <w:t>ta Rights:</w:t>
      </w:r>
      <w:r w:rsidR="00891604" w:rsidRPr="008D708F">
        <w:rPr>
          <w:rFonts w:ascii="Times New Roman" w:eastAsia="Times New Roman" w:hAnsi="Times New Roman" w:cs="Times New Roman"/>
          <w:color w:val="EE0000"/>
          <w:kern w:val="0"/>
          <w14:ligatures w14:val="none"/>
        </w:rPr>
        <w:t xml:space="preserve"> Limited Rights (Technical Data) / Restricted Rights (Software) should be considered the floor </w:t>
      </w:r>
      <w:r w:rsidR="00601A63" w:rsidRPr="008D708F">
        <w:rPr>
          <w:rFonts w:ascii="Times New Roman" w:eastAsia="Times New Roman" w:hAnsi="Times New Roman" w:cs="Times New Roman"/>
          <w:color w:val="EE0000"/>
          <w:kern w:val="0"/>
          <w14:ligatures w14:val="none"/>
        </w:rPr>
        <w:t xml:space="preserve">for this topic with the end-goal to pursue Government Purpose Rights (GPR). </w:t>
      </w:r>
      <w:r w:rsidR="005A3476" w:rsidRPr="008D708F">
        <w:rPr>
          <w:rFonts w:ascii="Times New Roman" w:eastAsia="Times New Roman" w:hAnsi="Times New Roman" w:cs="Times New Roman"/>
          <w:color w:val="EE0000"/>
          <w:kern w:val="0"/>
          <w14:ligatures w14:val="none"/>
        </w:rPr>
        <w:t xml:space="preserve">Limited/Restricted </w:t>
      </w:r>
      <w:r w:rsidR="00484492" w:rsidRPr="008D708F">
        <w:rPr>
          <w:rFonts w:ascii="Times New Roman" w:eastAsia="Times New Roman" w:hAnsi="Times New Roman" w:cs="Times New Roman"/>
          <w:color w:val="EE0000"/>
          <w:kern w:val="0"/>
          <w14:ligatures w14:val="none"/>
        </w:rPr>
        <w:t>Rights apply</w:t>
      </w:r>
      <w:r w:rsidR="005A3476" w:rsidRPr="008D708F">
        <w:rPr>
          <w:rFonts w:ascii="Times New Roman" w:eastAsia="Times New Roman" w:hAnsi="Times New Roman" w:cs="Times New Roman"/>
          <w:color w:val="EE0000"/>
          <w:kern w:val="0"/>
          <w14:ligatures w14:val="none"/>
        </w:rPr>
        <w:t xml:space="preserve"> to </w:t>
      </w:r>
      <w:r w:rsidR="00484492" w:rsidRPr="008D708F">
        <w:rPr>
          <w:rFonts w:ascii="Times New Roman" w:eastAsia="Times New Roman" w:hAnsi="Times New Roman" w:cs="Times New Roman"/>
          <w:color w:val="EE0000"/>
          <w:kern w:val="0"/>
          <w14:ligatures w14:val="none"/>
        </w:rPr>
        <w:t xml:space="preserve">technology developed exclusively at private expense. The Government is restricted from </w:t>
      </w:r>
      <w:r w:rsidR="002077CC" w:rsidRPr="008D708F">
        <w:rPr>
          <w:rFonts w:ascii="Times New Roman" w:eastAsia="Times New Roman" w:hAnsi="Times New Roman" w:cs="Times New Roman"/>
          <w:color w:val="EE0000"/>
          <w:kern w:val="0"/>
          <w14:ligatures w14:val="none"/>
        </w:rPr>
        <w:t xml:space="preserve">disclosing this data outside of the Government, with exceptions. GPR allows the Government </w:t>
      </w:r>
      <w:r w:rsidR="00300EF4" w:rsidRPr="008D708F">
        <w:rPr>
          <w:rFonts w:ascii="Times New Roman" w:eastAsia="Times New Roman" w:hAnsi="Times New Roman" w:cs="Times New Roman"/>
          <w:color w:val="EE0000"/>
          <w:kern w:val="0"/>
          <w14:ligatures w14:val="none"/>
        </w:rPr>
        <w:t>to use dat</w:t>
      </w:r>
      <w:r w:rsidR="003444ED" w:rsidRPr="008D708F">
        <w:rPr>
          <w:rFonts w:ascii="Times New Roman" w:eastAsia="Times New Roman" w:hAnsi="Times New Roman" w:cs="Times New Roman"/>
          <w:color w:val="EE0000"/>
          <w:kern w:val="0"/>
          <w14:ligatures w14:val="none"/>
        </w:rPr>
        <w:t>a</w:t>
      </w:r>
      <w:r w:rsidR="00300EF4" w:rsidRPr="008D708F">
        <w:rPr>
          <w:rFonts w:ascii="Times New Roman" w:eastAsia="Times New Roman" w:hAnsi="Times New Roman" w:cs="Times New Roman"/>
          <w:color w:val="EE0000"/>
          <w:kern w:val="0"/>
          <w14:ligatures w14:val="none"/>
        </w:rPr>
        <w:t xml:space="preserve"> for Government purposes only (e.g., competitive procurement) but prohibits commercial use by third parties.</w:t>
      </w:r>
    </w:p>
    <w:p w14:paraId="56F48E71" w14:textId="6F7D5966" w:rsidR="006F6BF5" w:rsidRPr="008D708F" w:rsidRDefault="006F6BF5" w:rsidP="006F6BF5">
      <w:pPr>
        <w:numPr>
          <w:ilvl w:val="0"/>
          <w:numId w:val="4"/>
        </w:numPr>
        <w:spacing w:before="100" w:beforeAutospacing="1" w:after="100" w:afterAutospacing="1" w:line="240" w:lineRule="auto"/>
        <w:rPr>
          <w:rFonts w:ascii="Times New Roman" w:eastAsia="Times New Roman" w:hAnsi="Times New Roman" w:cs="Times New Roman"/>
          <w:color w:val="EE0000"/>
          <w:kern w:val="0"/>
          <w14:ligatures w14:val="none"/>
        </w:rPr>
      </w:pPr>
      <w:r w:rsidRPr="008D708F">
        <w:rPr>
          <w:rFonts w:ascii="Times New Roman" w:eastAsia="Times New Roman" w:hAnsi="Times New Roman" w:cs="Times New Roman"/>
          <w:b/>
          <w:bCs/>
          <w:color w:val="EE0000"/>
          <w:kern w:val="0"/>
          <w14:ligatures w14:val="none"/>
        </w:rPr>
        <w:t>Period of Performance:</w:t>
      </w:r>
      <w:r w:rsidRPr="008D708F">
        <w:rPr>
          <w:rFonts w:ascii="Times New Roman" w:eastAsia="Times New Roman" w:hAnsi="Times New Roman" w:cs="Times New Roman"/>
          <w:color w:val="EE0000"/>
          <w:kern w:val="0"/>
          <w14:ligatures w14:val="none"/>
        </w:rPr>
        <w:t xml:space="preserve"> Up to 24 months, but no greater than 36 months. If it is longer than 24 months, the project shall be broken out by phases with a clear delineation </w:t>
      </w:r>
      <w:proofErr w:type="gramStart"/>
      <w:r w:rsidRPr="008D708F">
        <w:rPr>
          <w:rFonts w:ascii="Times New Roman" w:eastAsia="Times New Roman" w:hAnsi="Times New Roman" w:cs="Times New Roman"/>
          <w:color w:val="EE0000"/>
          <w:kern w:val="0"/>
          <w14:ligatures w14:val="none"/>
        </w:rPr>
        <w:t>at</w:t>
      </w:r>
      <w:proofErr w:type="gramEnd"/>
      <w:r w:rsidRPr="008D708F">
        <w:rPr>
          <w:rFonts w:ascii="Times New Roman" w:eastAsia="Times New Roman" w:hAnsi="Times New Roman" w:cs="Times New Roman"/>
          <w:color w:val="EE0000"/>
          <w:kern w:val="0"/>
          <w14:ligatures w14:val="none"/>
        </w:rPr>
        <w:t xml:space="preserve"> 24 months.</w:t>
      </w:r>
    </w:p>
    <w:p w14:paraId="4DE5E948" w14:textId="5C7D2631" w:rsidR="0072321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Topic 4:</w:t>
      </w:r>
      <w:r>
        <w:rPr>
          <w:rFonts w:ascii="Times New Roman" w:eastAsia="Times New Roman" w:hAnsi="Times New Roman" w:cs="Times New Roman"/>
          <w:kern w:val="0"/>
          <w14:ligatures w14:val="none"/>
        </w:rPr>
        <w:t xml:space="preserve"> </w:t>
      </w:r>
      <w:r w:rsidRPr="00B511F9">
        <w:rPr>
          <w:rFonts w:ascii="Times New Roman" w:eastAsia="Times New Roman" w:hAnsi="Times New Roman" w:cs="Times New Roman"/>
          <w:b/>
          <w:bCs/>
          <w:kern w:val="0"/>
          <w14:ligatures w14:val="none"/>
        </w:rPr>
        <w:t>R</w:t>
      </w:r>
      <w:r>
        <w:rPr>
          <w:rFonts w:ascii="Times New Roman" w:eastAsia="Times New Roman" w:hAnsi="Times New Roman" w:cs="Times New Roman"/>
          <w:b/>
          <w:bCs/>
          <w:kern w:val="0"/>
          <w14:ligatures w14:val="none"/>
        </w:rPr>
        <w:t>adio Frequency (R</w:t>
      </w:r>
      <w:r w:rsidRPr="00B511F9">
        <w:rPr>
          <w:rFonts w:ascii="Times New Roman" w:eastAsia="Times New Roman" w:hAnsi="Times New Roman" w:cs="Times New Roman"/>
          <w:b/>
          <w:bCs/>
          <w:kern w:val="0"/>
          <w14:ligatures w14:val="none"/>
        </w:rPr>
        <w:t>F</w:t>
      </w:r>
      <w:r>
        <w:rPr>
          <w:rFonts w:ascii="Times New Roman" w:eastAsia="Times New Roman" w:hAnsi="Times New Roman" w:cs="Times New Roman"/>
          <w:b/>
          <w:bCs/>
          <w:kern w:val="0"/>
          <w14:ligatures w14:val="none"/>
        </w:rPr>
        <w:t>)</w:t>
      </w:r>
      <w:r w:rsidRPr="00B511F9">
        <w:rPr>
          <w:rFonts w:ascii="Times New Roman" w:eastAsia="Times New Roman" w:hAnsi="Times New Roman" w:cs="Times New Roman"/>
          <w:b/>
          <w:bCs/>
          <w:kern w:val="0"/>
          <w14:ligatures w14:val="none"/>
        </w:rPr>
        <w:t xml:space="preserve"> Contested Environments</w:t>
      </w:r>
      <w:r w:rsidR="00E35FC4">
        <w:rPr>
          <w:rFonts w:ascii="Times New Roman" w:eastAsia="Times New Roman" w:hAnsi="Times New Roman" w:cs="Times New Roman"/>
          <w:b/>
          <w:bCs/>
          <w:kern w:val="0"/>
          <w14:ligatures w14:val="none"/>
        </w:rPr>
        <w:t xml:space="preserve"> </w:t>
      </w:r>
      <w:r w:rsidR="00B67668">
        <w:rPr>
          <w:rFonts w:ascii="Times New Roman" w:eastAsia="Times New Roman" w:hAnsi="Times New Roman" w:cs="Times New Roman"/>
          <w:b/>
          <w:bCs/>
          <w:kern w:val="0"/>
          <w14:ligatures w14:val="none"/>
        </w:rPr>
        <w:t xml:space="preserve">- </w:t>
      </w:r>
      <w:r w:rsidR="00E35FC4">
        <w:rPr>
          <w:rFonts w:ascii="Times New Roman" w:eastAsia="Times New Roman" w:hAnsi="Times New Roman" w:cs="Times New Roman"/>
          <w:b/>
          <w:bCs/>
          <w:kern w:val="0"/>
          <w14:ligatures w14:val="none"/>
        </w:rPr>
        <w:t>(</w:t>
      </w:r>
      <w:r w:rsidR="00E35FC4" w:rsidRPr="00E35FC4">
        <w:rPr>
          <w:rFonts w:ascii="Times New Roman" w:eastAsia="Times New Roman" w:hAnsi="Times New Roman" w:cs="Times New Roman"/>
          <w:b/>
          <w:bCs/>
          <w:kern w:val="0"/>
          <w14:ligatures w14:val="none"/>
        </w:rPr>
        <w:t>MIC-26-01-002</w:t>
      </w:r>
      <w:r w:rsidR="00E35FC4">
        <w:rPr>
          <w:rFonts w:ascii="Times New Roman" w:eastAsia="Times New Roman" w:hAnsi="Times New Roman" w:cs="Times New Roman"/>
          <w:b/>
          <w:bCs/>
          <w:kern w:val="0"/>
          <w14:ligatures w14:val="none"/>
        </w:rPr>
        <w:t>)</w:t>
      </w:r>
    </w:p>
    <w:p w14:paraId="08333C69" w14:textId="77777777" w:rsidR="0072321A" w:rsidRPr="00B77BB3"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The Department of War (</w:t>
      </w:r>
      <w:proofErr w:type="spellStart"/>
      <w:r w:rsidRPr="00B77BB3">
        <w:rPr>
          <w:rFonts w:ascii="Times New Roman" w:eastAsia="Times New Roman" w:hAnsi="Times New Roman" w:cs="Times New Roman"/>
          <w:kern w:val="0"/>
          <w14:ligatures w14:val="none"/>
        </w:rPr>
        <w:t>DoW</w:t>
      </w:r>
      <w:proofErr w:type="spellEnd"/>
      <w:r w:rsidRPr="00B77BB3">
        <w:rPr>
          <w:rFonts w:ascii="Times New Roman" w:eastAsia="Times New Roman" w:hAnsi="Times New Roman" w:cs="Times New Roman"/>
          <w:kern w:val="0"/>
          <w14:ligatures w14:val="none"/>
        </w:rPr>
        <w:t>) requires domestic, trusted prototyping and low-rate initial production of advanced microelectronics capable of maintaining spectrum dominance in severely contested and congested electromagnetic environments.</w:t>
      </w:r>
    </w:p>
    <w:p w14:paraId="30A14609" w14:textId="77777777" w:rsidR="0072321A" w:rsidRDefault="0072321A" w:rsidP="0072321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 xml:space="preserve">Currently, the U.S. Defense Industrial Base (DIB) faces a critical gap in fielding ultra-wideband, low-latency RF signal processing components at the tactical edge. Near-peer adversaries have proliferated sophisticated Electronic Warfare (EW) systems designed to jam, spoof, or degrade </w:t>
      </w:r>
      <w:proofErr w:type="spellStart"/>
      <w:r w:rsidRPr="00B77BB3">
        <w:rPr>
          <w:rFonts w:ascii="Times New Roman" w:eastAsia="Times New Roman" w:hAnsi="Times New Roman" w:cs="Times New Roman"/>
          <w:kern w:val="0"/>
          <w14:ligatures w14:val="none"/>
        </w:rPr>
        <w:t>DoW</w:t>
      </w:r>
      <w:proofErr w:type="spellEnd"/>
      <w:r w:rsidRPr="00B77BB3">
        <w:rPr>
          <w:rFonts w:ascii="Times New Roman" w:eastAsia="Times New Roman" w:hAnsi="Times New Roman" w:cs="Times New Roman"/>
          <w:kern w:val="0"/>
          <w14:ligatures w14:val="none"/>
        </w:rPr>
        <w:t xml:space="preserve"> communications, radar, and precision-guided munitions. Existing silicon-based microelectronics lack the instantaneous bandwidth and dynamic range required to filter intentional interference and isolate signals of interest in real-time, posing a severe risk to Joint All-Domain Command and Control (JADC2) survivability.</w:t>
      </w:r>
    </w:p>
    <w:p w14:paraId="3608A275" w14:textId="77777777" w:rsidR="0072321A" w:rsidRPr="00B77BB3" w:rsidRDefault="0072321A" w:rsidP="0072321A">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511F9">
        <w:rPr>
          <w:rFonts w:ascii="Times New Roman" w:eastAsia="Times New Roman" w:hAnsi="Times New Roman" w:cs="Times New Roman"/>
          <w:b/>
          <w:bCs/>
          <w:kern w:val="0"/>
          <w14:ligatures w14:val="none"/>
        </w:rPr>
        <w:t>Technical Focus</w:t>
      </w:r>
      <w:r>
        <w:rPr>
          <w:rFonts w:ascii="Times New Roman" w:eastAsia="Times New Roman" w:hAnsi="Times New Roman" w:cs="Times New Roman"/>
          <w:kern w:val="0"/>
          <w14:ligatures w14:val="none"/>
        </w:rPr>
        <w:t xml:space="preserve">: The solution must be </w:t>
      </w:r>
      <w:r w:rsidRPr="00B77BB3">
        <w:rPr>
          <w:rFonts w:ascii="Times New Roman" w:eastAsia="Times New Roman" w:hAnsi="Times New Roman" w:cs="Times New Roman"/>
          <w:kern w:val="0"/>
          <w14:ligatures w14:val="none"/>
        </w:rPr>
        <w:t>center</w:t>
      </w:r>
      <w:r>
        <w:rPr>
          <w:rFonts w:ascii="Times New Roman" w:eastAsia="Times New Roman" w:hAnsi="Times New Roman" w:cs="Times New Roman"/>
          <w:kern w:val="0"/>
          <w14:ligatures w14:val="none"/>
        </w:rPr>
        <w:t>ed</w:t>
      </w:r>
      <w:r w:rsidRPr="00B77BB3">
        <w:rPr>
          <w:rFonts w:ascii="Times New Roman" w:eastAsia="Times New Roman" w:hAnsi="Times New Roman" w:cs="Times New Roman"/>
          <w:kern w:val="0"/>
          <w14:ligatures w14:val="none"/>
        </w:rPr>
        <w:t xml:space="preserve"> on the design, development, and prototyping of advanced microelectronic architectures capable of maintaining spectrum dominance in highly contested and congested Radio Frequency (RF) environments. To counter sophisticated near-peer Electronic Warfare (EW) and jamming capabilities, the proposed solution must deliver ultra-wideband signal processing </w:t>
      </w:r>
      <w:r>
        <w:rPr>
          <w:rFonts w:ascii="Times New Roman" w:eastAsia="Times New Roman" w:hAnsi="Times New Roman" w:cs="Times New Roman"/>
          <w:kern w:val="0"/>
          <w14:ligatures w14:val="none"/>
        </w:rPr>
        <w:t xml:space="preserve">beyond the state of the practice </w:t>
      </w:r>
      <w:r w:rsidRPr="00B77BB3">
        <w:rPr>
          <w:rFonts w:ascii="Times New Roman" w:eastAsia="Times New Roman" w:hAnsi="Times New Roman" w:cs="Times New Roman"/>
          <w:kern w:val="0"/>
          <w14:ligatures w14:val="none"/>
        </w:rPr>
        <w:t xml:space="preserve">at the tactical edge. This requires moving beyond traditional narrowband, high-latency digital conversion by integrating analog, mixed-signal, or photonic pre-processing directly on-chip. These advanced microelectronic components must </w:t>
      </w:r>
      <w:r w:rsidRPr="00B77BB3">
        <w:rPr>
          <w:rFonts w:ascii="Times New Roman" w:eastAsia="Times New Roman" w:hAnsi="Times New Roman" w:cs="Times New Roman"/>
          <w:kern w:val="0"/>
          <w14:ligatures w14:val="none"/>
        </w:rPr>
        <w:lastRenderedPageBreak/>
        <w:t>demonstrate the high dynamic range necessary to simultaneously nullify high-power, frequency-hopping interference while isolating and preserving critical, low-power signals of interest in real-time without introducing processing lag.</w:t>
      </w:r>
    </w:p>
    <w:p w14:paraId="5C782F3E" w14:textId="77777777" w:rsidR="008D708F" w:rsidRDefault="0072321A" w:rsidP="008D708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B511F9">
        <w:rPr>
          <w:rFonts w:ascii="Times New Roman" w:eastAsia="Times New Roman" w:hAnsi="Times New Roman" w:cs="Times New Roman"/>
          <w:kern w:val="0"/>
          <w14:ligatures w14:val="none"/>
        </w:rPr>
        <w:t>Furthermore, the technical focus mandates strict adherence to Size, Weight, Power, and Cost (</w:t>
      </w:r>
      <w:proofErr w:type="spellStart"/>
      <w:r w:rsidRPr="00B511F9">
        <w:rPr>
          <w:rFonts w:ascii="Times New Roman" w:eastAsia="Times New Roman" w:hAnsi="Times New Roman" w:cs="Times New Roman"/>
          <w:kern w:val="0"/>
          <w14:ligatures w14:val="none"/>
        </w:rPr>
        <w:t>SWaP</w:t>
      </w:r>
      <w:proofErr w:type="spellEnd"/>
      <w:r w:rsidRPr="00B511F9">
        <w:rPr>
          <w:rFonts w:ascii="Times New Roman" w:eastAsia="Times New Roman" w:hAnsi="Times New Roman" w:cs="Times New Roman"/>
          <w:kern w:val="0"/>
          <w14:ligatures w14:val="none"/>
        </w:rPr>
        <w:t>-C) optimization to ensure the resulting prototypes are viable for integration into constrained platforms such as Unmanned Aerial Systems (UAS), precision-guided munitions, and mobile Joint All-Domain Command and Control (JADC2) nodes. A critical execution requirement of this effort is the active utilization and maturation of the domestic supply chain, specifically leveraging the established optics, photonics, and RF microelectronics industrial base</w:t>
      </w:r>
      <w:r>
        <w:rPr>
          <w:rFonts w:ascii="Times New Roman" w:eastAsia="Times New Roman" w:hAnsi="Times New Roman" w:cs="Times New Roman"/>
          <w:kern w:val="0"/>
          <w14:ligatures w14:val="none"/>
        </w:rPr>
        <w:t xml:space="preserve">. </w:t>
      </w:r>
      <w:r w:rsidRPr="00B511F9">
        <w:rPr>
          <w:rFonts w:ascii="Times New Roman" w:eastAsia="Times New Roman" w:hAnsi="Times New Roman" w:cs="Times New Roman"/>
          <w:kern w:val="0"/>
          <w14:ligatures w14:val="none"/>
        </w:rPr>
        <w:t>Performers must explicitly demonstrate how their technical approach integrates specialized manufacturing, advanced prototyping, and research capabilities to deliver military-grade, environmentally hardened sub-systems (targeting Technology Readiness Level 5 or 6) that are ready for transition into Department of War (</w:t>
      </w:r>
      <w:proofErr w:type="spellStart"/>
      <w:r w:rsidRPr="00B511F9">
        <w:rPr>
          <w:rFonts w:ascii="Times New Roman" w:eastAsia="Times New Roman" w:hAnsi="Times New Roman" w:cs="Times New Roman"/>
          <w:kern w:val="0"/>
          <w14:ligatures w14:val="none"/>
        </w:rPr>
        <w:t>DoW</w:t>
      </w:r>
      <w:proofErr w:type="spellEnd"/>
      <w:r w:rsidRPr="00B511F9">
        <w:rPr>
          <w:rFonts w:ascii="Times New Roman" w:eastAsia="Times New Roman" w:hAnsi="Times New Roman" w:cs="Times New Roman"/>
          <w:kern w:val="0"/>
          <w14:ligatures w14:val="none"/>
        </w:rPr>
        <w:t>) Programs of Record.</w:t>
      </w:r>
    </w:p>
    <w:p w14:paraId="65A71872" w14:textId="54A1C10F" w:rsidR="003774EC" w:rsidRPr="003774EC" w:rsidRDefault="0072321A" w:rsidP="008D708F">
      <w:pPr>
        <w:pStyle w:val="ListParagraph"/>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7E2E94E4" w14:textId="70B29856" w:rsidR="003774EC" w:rsidRPr="008D708F" w:rsidRDefault="003774EC" w:rsidP="003774EC">
      <w:pPr>
        <w:numPr>
          <w:ilvl w:val="0"/>
          <w:numId w:val="5"/>
        </w:numPr>
        <w:spacing w:before="100" w:beforeAutospacing="1" w:after="100" w:afterAutospacing="1" w:line="240" w:lineRule="auto"/>
        <w:rPr>
          <w:rFonts w:ascii="Times New Roman" w:eastAsia="Times New Roman" w:hAnsi="Times New Roman" w:cs="Times New Roman"/>
          <w:color w:val="EE0000"/>
          <w:kern w:val="0"/>
          <w14:ligatures w14:val="none"/>
        </w:rPr>
      </w:pPr>
      <w:r w:rsidRPr="008D708F">
        <w:rPr>
          <w:rFonts w:ascii="Times New Roman" w:eastAsia="Times New Roman" w:hAnsi="Times New Roman" w:cs="Times New Roman"/>
          <w:b/>
          <w:bCs/>
          <w:color w:val="EE0000"/>
          <w:kern w:val="0"/>
          <w14:ligatures w14:val="none"/>
        </w:rPr>
        <w:t>Period of Performance:</w:t>
      </w:r>
      <w:r w:rsidRPr="008D708F">
        <w:rPr>
          <w:rFonts w:ascii="Times New Roman" w:eastAsia="Times New Roman" w:hAnsi="Times New Roman" w:cs="Times New Roman"/>
          <w:color w:val="EE0000"/>
          <w:kern w:val="0"/>
          <w14:ligatures w14:val="none"/>
        </w:rPr>
        <w:t xml:space="preserve"> Up to 24 months, but no greater than 36 months. If it is longer than 24 months, the project shall be broken out by phases with a clear delineation </w:t>
      </w:r>
      <w:proofErr w:type="gramStart"/>
      <w:r w:rsidRPr="008D708F">
        <w:rPr>
          <w:rFonts w:ascii="Times New Roman" w:eastAsia="Times New Roman" w:hAnsi="Times New Roman" w:cs="Times New Roman"/>
          <w:color w:val="EE0000"/>
          <w:kern w:val="0"/>
          <w14:ligatures w14:val="none"/>
        </w:rPr>
        <w:t>at</w:t>
      </w:r>
      <w:proofErr w:type="gramEnd"/>
      <w:r w:rsidRPr="008D708F">
        <w:rPr>
          <w:rFonts w:ascii="Times New Roman" w:eastAsia="Times New Roman" w:hAnsi="Times New Roman" w:cs="Times New Roman"/>
          <w:color w:val="EE0000"/>
          <w:kern w:val="0"/>
          <w14:ligatures w14:val="none"/>
        </w:rPr>
        <w:t xml:space="preserve"> 24 months.</w:t>
      </w:r>
    </w:p>
    <w:p w14:paraId="76FB591A" w14:textId="77777777" w:rsidR="00ED5DC6" w:rsidRDefault="00ED5DC6"/>
    <w:sectPr w:rsidR="00ED5D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02D6" w14:textId="77777777" w:rsidR="00C4656D" w:rsidRDefault="00C4656D" w:rsidP="00117F3C">
      <w:pPr>
        <w:spacing w:after="0" w:line="240" w:lineRule="auto"/>
      </w:pPr>
      <w:r>
        <w:separator/>
      </w:r>
    </w:p>
  </w:endnote>
  <w:endnote w:type="continuationSeparator" w:id="0">
    <w:p w14:paraId="07897FBB" w14:textId="77777777" w:rsidR="00C4656D" w:rsidRDefault="00C4656D" w:rsidP="00117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84BF" w14:textId="77777777" w:rsidR="00C4656D" w:rsidRDefault="00C4656D" w:rsidP="00117F3C">
      <w:pPr>
        <w:spacing w:after="0" w:line="240" w:lineRule="auto"/>
      </w:pPr>
      <w:r>
        <w:separator/>
      </w:r>
    </w:p>
  </w:footnote>
  <w:footnote w:type="continuationSeparator" w:id="0">
    <w:p w14:paraId="4CC52413" w14:textId="77777777" w:rsidR="00C4656D" w:rsidRDefault="00C4656D" w:rsidP="00117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8ADE" w14:textId="77777777" w:rsidR="00B93EAA" w:rsidRDefault="00B93EAA" w:rsidP="00117F3C">
    <w:pPr>
      <w:pStyle w:val="Header"/>
      <w:jc w:val="center"/>
    </w:pPr>
    <w:r>
      <w:t>Attachment 1</w:t>
    </w:r>
  </w:p>
  <w:p w14:paraId="5876B157" w14:textId="3BEDDFA5" w:rsidR="00117F3C" w:rsidRDefault="00117F3C" w:rsidP="00117F3C">
    <w:pPr>
      <w:pStyle w:val="Header"/>
      <w:jc w:val="center"/>
    </w:pPr>
    <w:r>
      <w:t>Statement of Need</w:t>
    </w:r>
  </w:p>
  <w:p w14:paraId="4D7DF44C" w14:textId="317D5711" w:rsidR="00117F3C" w:rsidRDefault="00117F3C" w:rsidP="00117F3C">
    <w:pPr>
      <w:pStyle w:val="Header"/>
      <w:jc w:val="center"/>
    </w:pPr>
    <w:r>
      <w:t>DIBC-</w:t>
    </w:r>
    <w:r w:rsidR="00E96C96">
      <w:t>RFS</w:t>
    </w:r>
    <w:r w:rsidR="00F87655">
      <w:t>-</w:t>
    </w:r>
    <w:r>
      <w:t>26-</w:t>
    </w:r>
    <w:r w:rsidR="00F87655">
      <w:t>01</w:t>
    </w:r>
  </w:p>
  <w:p w14:paraId="0B5D1D3D" w14:textId="77777777" w:rsidR="00ED3658" w:rsidRDefault="00ED3658" w:rsidP="00117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61"/>
    <w:multiLevelType w:val="multilevel"/>
    <w:tmpl w:val="C2B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0B96"/>
    <w:multiLevelType w:val="multilevel"/>
    <w:tmpl w:val="33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D4F64"/>
    <w:multiLevelType w:val="multilevel"/>
    <w:tmpl w:val="F9C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50AE5"/>
    <w:multiLevelType w:val="multilevel"/>
    <w:tmpl w:val="5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B3C52"/>
    <w:multiLevelType w:val="hybridMultilevel"/>
    <w:tmpl w:val="58C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200328">
    <w:abstractNumId w:val="1"/>
  </w:num>
  <w:num w:numId="2" w16cid:durableId="575823319">
    <w:abstractNumId w:val="2"/>
  </w:num>
  <w:num w:numId="3" w16cid:durableId="994601342">
    <w:abstractNumId w:val="3"/>
  </w:num>
  <w:num w:numId="4" w16cid:durableId="34043737">
    <w:abstractNumId w:val="0"/>
  </w:num>
  <w:num w:numId="5" w16cid:durableId="720833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26"/>
    <w:rsid w:val="00026D7A"/>
    <w:rsid w:val="00027B0F"/>
    <w:rsid w:val="000851C7"/>
    <w:rsid w:val="00086D1B"/>
    <w:rsid w:val="000A5AD3"/>
    <w:rsid w:val="000E10EB"/>
    <w:rsid w:val="00117F3C"/>
    <w:rsid w:val="00127710"/>
    <w:rsid w:val="001347CF"/>
    <w:rsid w:val="001504F7"/>
    <w:rsid w:val="0016163D"/>
    <w:rsid w:val="00166090"/>
    <w:rsid w:val="001776BD"/>
    <w:rsid w:val="001C0687"/>
    <w:rsid w:val="002077CC"/>
    <w:rsid w:val="00255421"/>
    <w:rsid w:val="002D749A"/>
    <w:rsid w:val="00300EF4"/>
    <w:rsid w:val="00307AD7"/>
    <w:rsid w:val="0031678B"/>
    <w:rsid w:val="00325048"/>
    <w:rsid w:val="00325155"/>
    <w:rsid w:val="003444ED"/>
    <w:rsid w:val="00353F7D"/>
    <w:rsid w:val="003774EC"/>
    <w:rsid w:val="0038050A"/>
    <w:rsid w:val="003C24B1"/>
    <w:rsid w:val="003F5A9F"/>
    <w:rsid w:val="0040444D"/>
    <w:rsid w:val="00407A78"/>
    <w:rsid w:val="00407EF9"/>
    <w:rsid w:val="0042057D"/>
    <w:rsid w:val="00432C58"/>
    <w:rsid w:val="0044548C"/>
    <w:rsid w:val="004734D8"/>
    <w:rsid w:val="00477311"/>
    <w:rsid w:val="00484492"/>
    <w:rsid w:val="00516BCF"/>
    <w:rsid w:val="00541907"/>
    <w:rsid w:val="005420F8"/>
    <w:rsid w:val="005A3476"/>
    <w:rsid w:val="005A7B07"/>
    <w:rsid w:val="00600CCC"/>
    <w:rsid w:val="00601A63"/>
    <w:rsid w:val="0061433D"/>
    <w:rsid w:val="00615D9A"/>
    <w:rsid w:val="00630447"/>
    <w:rsid w:val="00647780"/>
    <w:rsid w:val="0069151C"/>
    <w:rsid w:val="006A21C3"/>
    <w:rsid w:val="006B35EA"/>
    <w:rsid w:val="006C2482"/>
    <w:rsid w:val="006C4ECD"/>
    <w:rsid w:val="006C4F02"/>
    <w:rsid w:val="006F6BF5"/>
    <w:rsid w:val="0072321A"/>
    <w:rsid w:val="00746E19"/>
    <w:rsid w:val="00771012"/>
    <w:rsid w:val="007A0260"/>
    <w:rsid w:val="007B16B6"/>
    <w:rsid w:val="007C626E"/>
    <w:rsid w:val="00824DDD"/>
    <w:rsid w:val="0083716C"/>
    <w:rsid w:val="00842987"/>
    <w:rsid w:val="00852667"/>
    <w:rsid w:val="00891604"/>
    <w:rsid w:val="008A6412"/>
    <w:rsid w:val="008B4A69"/>
    <w:rsid w:val="008C0B84"/>
    <w:rsid w:val="008D708F"/>
    <w:rsid w:val="008E0B8B"/>
    <w:rsid w:val="00915F7A"/>
    <w:rsid w:val="009170AF"/>
    <w:rsid w:val="00955326"/>
    <w:rsid w:val="00957330"/>
    <w:rsid w:val="009C00F5"/>
    <w:rsid w:val="009D08CE"/>
    <w:rsid w:val="009D67E3"/>
    <w:rsid w:val="00A20739"/>
    <w:rsid w:val="00A5375B"/>
    <w:rsid w:val="00A96861"/>
    <w:rsid w:val="00AA3B74"/>
    <w:rsid w:val="00AE694B"/>
    <w:rsid w:val="00B07A1D"/>
    <w:rsid w:val="00B41253"/>
    <w:rsid w:val="00B521BC"/>
    <w:rsid w:val="00B67668"/>
    <w:rsid w:val="00B93EAA"/>
    <w:rsid w:val="00BB6C8C"/>
    <w:rsid w:val="00BB7FC9"/>
    <w:rsid w:val="00BC01D2"/>
    <w:rsid w:val="00C142C4"/>
    <w:rsid w:val="00C36E0A"/>
    <w:rsid w:val="00C4656D"/>
    <w:rsid w:val="00CC012A"/>
    <w:rsid w:val="00CE7531"/>
    <w:rsid w:val="00D07E05"/>
    <w:rsid w:val="00D15285"/>
    <w:rsid w:val="00D3789C"/>
    <w:rsid w:val="00D40884"/>
    <w:rsid w:val="00D9275F"/>
    <w:rsid w:val="00DE2BC8"/>
    <w:rsid w:val="00E10703"/>
    <w:rsid w:val="00E146D9"/>
    <w:rsid w:val="00E20379"/>
    <w:rsid w:val="00E35FC4"/>
    <w:rsid w:val="00E96C96"/>
    <w:rsid w:val="00EA6D55"/>
    <w:rsid w:val="00EC0179"/>
    <w:rsid w:val="00ED3658"/>
    <w:rsid w:val="00ED5DC6"/>
    <w:rsid w:val="00EE7860"/>
    <w:rsid w:val="00EF6788"/>
    <w:rsid w:val="00EF7CD3"/>
    <w:rsid w:val="00F16AEE"/>
    <w:rsid w:val="00F36031"/>
    <w:rsid w:val="00F55142"/>
    <w:rsid w:val="00F7064F"/>
    <w:rsid w:val="00F87655"/>
    <w:rsid w:val="00FC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14D7"/>
  <w15:chartTrackingRefBased/>
  <w15:docId w15:val="{9C424482-14FB-4B2D-8E8F-8C8D9E1C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1A"/>
  </w:style>
  <w:style w:type="paragraph" w:styleId="Heading1">
    <w:name w:val="heading 1"/>
    <w:basedOn w:val="Normal"/>
    <w:next w:val="Normal"/>
    <w:link w:val="Heading1Char"/>
    <w:uiPriority w:val="9"/>
    <w:qFormat/>
    <w:rsid w:val="00955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26"/>
    <w:rPr>
      <w:rFonts w:eastAsiaTheme="majorEastAsia" w:cstheme="majorBidi"/>
      <w:color w:val="272727" w:themeColor="text1" w:themeTint="D8"/>
    </w:rPr>
  </w:style>
  <w:style w:type="paragraph" w:styleId="Title">
    <w:name w:val="Title"/>
    <w:basedOn w:val="Normal"/>
    <w:next w:val="Normal"/>
    <w:link w:val="TitleChar"/>
    <w:uiPriority w:val="10"/>
    <w:qFormat/>
    <w:rsid w:val="00955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26"/>
    <w:pPr>
      <w:spacing w:before="160"/>
      <w:jc w:val="center"/>
    </w:pPr>
    <w:rPr>
      <w:i/>
      <w:iCs/>
      <w:color w:val="404040" w:themeColor="text1" w:themeTint="BF"/>
    </w:rPr>
  </w:style>
  <w:style w:type="character" w:customStyle="1" w:styleId="QuoteChar">
    <w:name w:val="Quote Char"/>
    <w:basedOn w:val="DefaultParagraphFont"/>
    <w:link w:val="Quote"/>
    <w:uiPriority w:val="29"/>
    <w:rsid w:val="00955326"/>
    <w:rPr>
      <w:i/>
      <w:iCs/>
      <w:color w:val="404040" w:themeColor="text1" w:themeTint="BF"/>
    </w:rPr>
  </w:style>
  <w:style w:type="paragraph" w:styleId="ListParagraph">
    <w:name w:val="List Paragraph"/>
    <w:basedOn w:val="Normal"/>
    <w:uiPriority w:val="34"/>
    <w:qFormat/>
    <w:rsid w:val="00955326"/>
    <w:pPr>
      <w:ind w:left="720"/>
      <w:contextualSpacing/>
    </w:pPr>
  </w:style>
  <w:style w:type="character" w:styleId="IntenseEmphasis">
    <w:name w:val="Intense Emphasis"/>
    <w:basedOn w:val="DefaultParagraphFont"/>
    <w:uiPriority w:val="21"/>
    <w:qFormat/>
    <w:rsid w:val="00955326"/>
    <w:rPr>
      <w:i/>
      <w:iCs/>
      <w:color w:val="0F4761" w:themeColor="accent1" w:themeShade="BF"/>
    </w:rPr>
  </w:style>
  <w:style w:type="paragraph" w:styleId="IntenseQuote">
    <w:name w:val="Intense Quote"/>
    <w:basedOn w:val="Normal"/>
    <w:next w:val="Normal"/>
    <w:link w:val="IntenseQuoteChar"/>
    <w:uiPriority w:val="30"/>
    <w:qFormat/>
    <w:rsid w:val="00955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326"/>
    <w:rPr>
      <w:i/>
      <w:iCs/>
      <w:color w:val="0F4761" w:themeColor="accent1" w:themeShade="BF"/>
    </w:rPr>
  </w:style>
  <w:style w:type="character" w:styleId="IntenseReference">
    <w:name w:val="Intense Reference"/>
    <w:basedOn w:val="DefaultParagraphFont"/>
    <w:uiPriority w:val="32"/>
    <w:qFormat/>
    <w:rsid w:val="00955326"/>
    <w:rPr>
      <w:b/>
      <w:bCs/>
      <w:smallCaps/>
      <w:color w:val="0F4761" w:themeColor="accent1" w:themeShade="BF"/>
      <w:spacing w:val="5"/>
    </w:rPr>
  </w:style>
  <w:style w:type="paragraph" w:styleId="Header">
    <w:name w:val="header"/>
    <w:basedOn w:val="Normal"/>
    <w:link w:val="HeaderChar"/>
    <w:uiPriority w:val="99"/>
    <w:unhideWhenUsed/>
    <w:rsid w:val="00117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F3C"/>
  </w:style>
  <w:style w:type="paragraph" w:styleId="Footer">
    <w:name w:val="footer"/>
    <w:basedOn w:val="Normal"/>
    <w:link w:val="FooterChar"/>
    <w:uiPriority w:val="99"/>
    <w:unhideWhenUsed/>
    <w:rsid w:val="00117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F3C"/>
  </w:style>
  <w:style w:type="paragraph" w:styleId="Revision">
    <w:name w:val="Revision"/>
    <w:hidden/>
    <w:uiPriority w:val="99"/>
    <w:semiHidden/>
    <w:rsid w:val="002D749A"/>
    <w:pPr>
      <w:spacing w:after="0" w:line="240" w:lineRule="auto"/>
    </w:pPr>
  </w:style>
  <w:style w:type="character" w:styleId="CommentReference">
    <w:name w:val="annotation reference"/>
    <w:basedOn w:val="DefaultParagraphFont"/>
    <w:uiPriority w:val="99"/>
    <w:semiHidden/>
    <w:unhideWhenUsed/>
    <w:rsid w:val="00353F7D"/>
    <w:rPr>
      <w:sz w:val="16"/>
      <w:szCs w:val="16"/>
    </w:rPr>
  </w:style>
  <w:style w:type="paragraph" w:styleId="CommentText">
    <w:name w:val="annotation text"/>
    <w:basedOn w:val="Normal"/>
    <w:link w:val="CommentTextChar"/>
    <w:uiPriority w:val="99"/>
    <w:unhideWhenUsed/>
    <w:rsid w:val="00353F7D"/>
    <w:pPr>
      <w:spacing w:line="240" w:lineRule="auto"/>
    </w:pPr>
    <w:rPr>
      <w:sz w:val="20"/>
      <w:szCs w:val="20"/>
    </w:rPr>
  </w:style>
  <w:style w:type="character" w:customStyle="1" w:styleId="CommentTextChar">
    <w:name w:val="Comment Text Char"/>
    <w:basedOn w:val="DefaultParagraphFont"/>
    <w:link w:val="CommentText"/>
    <w:uiPriority w:val="99"/>
    <w:rsid w:val="00353F7D"/>
    <w:rPr>
      <w:sz w:val="20"/>
      <w:szCs w:val="20"/>
    </w:rPr>
  </w:style>
  <w:style w:type="paragraph" w:styleId="CommentSubject">
    <w:name w:val="annotation subject"/>
    <w:basedOn w:val="CommentText"/>
    <w:next w:val="CommentText"/>
    <w:link w:val="CommentSubjectChar"/>
    <w:uiPriority w:val="99"/>
    <w:semiHidden/>
    <w:unhideWhenUsed/>
    <w:rsid w:val="00353F7D"/>
    <w:rPr>
      <w:b/>
      <w:bCs/>
    </w:rPr>
  </w:style>
  <w:style w:type="character" w:customStyle="1" w:styleId="CommentSubjectChar">
    <w:name w:val="Comment Subject Char"/>
    <w:basedOn w:val="CommentTextChar"/>
    <w:link w:val="CommentSubject"/>
    <w:uiPriority w:val="99"/>
    <w:semiHidden/>
    <w:rsid w:val="0035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2Z7KZF7JJHQ6-1620320595-45024</_dlc_DocId>
    <_dlc_DocIdUrl xmlns="725e00ec-5e44-45f9-8150-2d617f1dff14">
      <Url>https://aticloud.sharepoint.us/sites/MIM/_layouts/15/DocIdRedir.aspx?ID=2Z7KZF7JJHQ6-1620320595-45024</Url>
      <Description>2Z7KZF7JJHQ6-1620320595-45024</Description>
    </_dlc_DocIdUrl>
  </documentManagement>
</p:properties>
</file>

<file path=customXml/itemProps1.xml><?xml version="1.0" encoding="utf-8"?>
<ds:datastoreItem xmlns:ds="http://schemas.openxmlformats.org/officeDocument/2006/customXml" ds:itemID="{0C2DD4F0-8A8E-4EF8-BAC7-752197922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735FA-4079-4D18-B192-06F16EED6D65}">
  <ds:schemaRefs>
    <ds:schemaRef ds:uri="http://schemas.microsoft.com/sharepoint/events"/>
  </ds:schemaRefs>
</ds:datastoreItem>
</file>

<file path=customXml/itemProps3.xml><?xml version="1.0" encoding="utf-8"?>
<ds:datastoreItem xmlns:ds="http://schemas.openxmlformats.org/officeDocument/2006/customXml" ds:itemID="{7B979333-A5BC-4421-94A2-B19951E2D767}">
  <ds:schemaRefs>
    <ds:schemaRef ds:uri="http://schemas.microsoft.com/sharepoint/v3/contenttype/forms"/>
  </ds:schemaRefs>
</ds:datastoreItem>
</file>

<file path=customXml/itemProps4.xml><?xml version="1.0" encoding="utf-8"?>
<ds:datastoreItem xmlns:ds="http://schemas.openxmlformats.org/officeDocument/2006/customXml" ds:itemID="{E1979042-1F8F-4084-9F77-26FC1C897B44}">
  <ds:schemaRefs>
    <ds:schemaRef ds:uri="http://schemas.microsoft.com/office/2006/metadata/properties"/>
    <ds:schemaRef ds:uri="http://schemas.microsoft.com/office/infopath/2007/PartnerControls"/>
    <ds:schemaRef ds:uri="d6b1af84-85c2-4903-b66f-a8db2384d572"/>
    <ds:schemaRef ds:uri="725e00ec-5e44-45f9-8150-2d617f1dff14"/>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Kleinlein, Kurt L CIV USARMY ACC (USA)</dc:creator>
  <cp:keywords/>
  <dc:description/>
  <cp:lastModifiedBy>Merlino, Mary Kate</cp:lastModifiedBy>
  <cp:revision>5</cp:revision>
  <dcterms:created xsi:type="dcterms:W3CDTF">2026-05-19T17:06:00Z</dcterms:created>
  <dcterms:modified xsi:type="dcterms:W3CDTF">2026-05-19T17:44:00Z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e5ef77e5-5937-4a24-b935-585c74737897</vt:lpwstr>
  </property>
  <property fmtid="{D5CDD505-2E9C-101B-9397-08002B2CF9AE}" pid="4" name="MediaServiceImageTags">
    <vt:lpwstr/>
  </property>
  <property fmtid="{D5CDD505-2E9C-101B-9397-08002B2CF9AE}" pid="5" name="TaxCatchAll">
    <vt:lpwstr/>
  </property>
</Properties>
</file>